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6B065" w14:textId="4C1006E5" w:rsidR="00B77164" w:rsidRPr="00B77164" w:rsidRDefault="00B77164" w:rsidP="00B77164">
      <w:pPr>
        <w:tabs>
          <w:tab w:val="left" w:pos="3819"/>
        </w:tabs>
        <w:rPr>
          <w:rFonts w:ascii="Verdana" w:eastAsia="Verdana" w:hAnsi="Verdana" w:cs="Verdana"/>
          <w:b/>
          <w:bCs/>
          <w:color w:val="000000" w:themeColor="text1"/>
          <w:sz w:val="4"/>
          <w:szCs w:val="4"/>
        </w:rPr>
      </w:pPr>
      <w:r>
        <w:rPr>
          <w:rFonts w:ascii="Verdana" w:eastAsia="Verdana" w:hAnsi="Verdana" w:cs="Verdana"/>
          <w:b/>
          <w:bCs/>
          <w:color w:val="000000" w:themeColor="text1"/>
          <w:sz w:val="32"/>
          <w:szCs w:val="32"/>
        </w:rPr>
        <w:tab/>
      </w:r>
    </w:p>
    <w:p w14:paraId="2B7119A3" w14:textId="0A4D27A6" w:rsidR="002718FE" w:rsidRDefault="00810E5B" w:rsidP="00810E5B">
      <w:pPr>
        <w:rPr>
          <w:rFonts w:ascii="Verdana" w:eastAsia="Verdana" w:hAnsi="Verdana" w:cs="Verdana"/>
          <w:b/>
          <w:bCs/>
          <w:color w:val="000000" w:themeColor="text1"/>
          <w:sz w:val="32"/>
          <w:szCs w:val="32"/>
        </w:rPr>
      </w:pPr>
      <w:r w:rsidRPr="65776A4A">
        <w:rPr>
          <w:rFonts w:ascii="Verdana" w:eastAsia="Verdana" w:hAnsi="Verdana" w:cs="Verdana"/>
          <w:b/>
          <w:bCs/>
          <w:color w:val="000000" w:themeColor="text1"/>
          <w:sz w:val="32"/>
          <w:szCs w:val="32"/>
        </w:rPr>
        <w:t>HFES Bulletin:</w:t>
      </w:r>
      <w:r>
        <w:rPr>
          <w:rFonts w:ascii="Verdana" w:eastAsia="Verdana" w:hAnsi="Verdana" w:cs="Verdana"/>
          <w:b/>
          <w:bCs/>
          <w:color w:val="000000" w:themeColor="text1"/>
          <w:sz w:val="32"/>
          <w:szCs w:val="32"/>
        </w:rPr>
        <w:t xml:space="preserve"> </w:t>
      </w:r>
      <w:r w:rsidR="00CD4DA3">
        <w:rPr>
          <w:rFonts w:ascii="Verdana" w:eastAsia="Verdana" w:hAnsi="Verdana" w:cs="Verdana"/>
          <w:b/>
          <w:bCs/>
          <w:color w:val="000000" w:themeColor="text1"/>
          <w:sz w:val="32"/>
          <w:szCs w:val="32"/>
        </w:rPr>
        <w:t xml:space="preserve">Congress </w:t>
      </w:r>
      <w:r w:rsidR="00B77164">
        <w:rPr>
          <w:rFonts w:ascii="Verdana" w:eastAsia="Verdana" w:hAnsi="Verdana" w:cs="Verdana"/>
          <w:b/>
          <w:bCs/>
          <w:color w:val="000000" w:themeColor="text1"/>
          <w:sz w:val="32"/>
          <w:szCs w:val="32"/>
        </w:rPr>
        <w:t>Navigates</w:t>
      </w:r>
      <w:r w:rsidR="00CD4DA3" w:rsidRPr="00CD4DA3">
        <w:rPr>
          <w:rFonts w:ascii="Verdana" w:eastAsia="Verdana" w:hAnsi="Verdana" w:cs="Verdana"/>
          <w:b/>
          <w:bCs/>
          <w:color w:val="000000" w:themeColor="text1"/>
          <w:sz w:val="32"/>
          <w:szCs w:val="32"/>
        </w:rPr>
        <w:t xml:space="preserve"> a Critical Legislative Season</w:t>
      </w:r>
    </w:p>
    <w:p w14:paraId="1E04F029" w14:textId="04E573B4" w:rsidR="00BB0D9D" w:rsidRDefault="00810E5B" w:rsidP="76E4AD7C">
      <w:pPr>
        <w:rPr>
          <w:rFonts w:ascii="Verdana" w:eastAsia="Verdana" w:hAnsi="Verdana" w:cs="Verdana"/>
          <w:i/>
          <w:iCs/>
          <w:color w:val="000000" w:themeColor="text1"/>
        </w:rPr>
      </w:pPr>
      <w:r w:rsidRPr="76E4AD7C">
        <w:rPr>
          <w:rFonts w:ascii="Verdana" w:eastAsia="Verdana" w:hAnsi="Verdana" w:cs="Verdana"/>
          <w:i/>
          <w:iCs/>
          <w:color w:val="000000" w:themeColor="text1"/>
        </w:rPr>
        <w:t xml:space="preserve">Lewis-Burke Associates, LLC – </w:t>
      </w:r>
      <w:r w:rsidR="000C03C7">
        <w:rPr>
          <w:rFonts w:ascii="Verdana" w:eastAsia="Verdana" w:hAnsi="Verdana" w:cs="Verdana"/>
          <w:i/>
          <w:iCs/>
          <w:color w:val="000000" w:themeColor="text1"/>
        </w:rPr>
        <w:t>September 16</w:t>
      </w:r>
      <w:r w:rsidRPr="76E4AD7C">
        <w:rPr>
          <w:rFonts w:ascii="Verdana" w:eastAsia="Verdana" w:hAnsi="Verdana" w:cs="Verdana"/>
          <w:i/>
          <w:iCs/>
          <w:color w:val="000000" w:themeColor="text1"/>
        </w:rPr>
        <w:t>, 202</w:t>
      </w:r>
      <w:r w:rsidR="007332C8" w:rsidRPr="76E4AD7C">
        <w:rPr>
          <w:rFonts w:ascii="Verdana" w:eastAsia="Verdana" w:hAnsi="Verdana" w:cs="Verdana"/>
          <w:i/>
          <w:iCs/>
          <w:color w:val="000000" w:themeColor="text1"/>
        </w:rPr>
        <w:t>5</w:t>
      </w:r>
    </w:p>
    <w:p w14:paraId="2DECAF07" w14:textId="4CA48A96" w:rsidR="00EC170C" w:rsidRPr="00B77164" w:rsidRDefault="00B06C8A" w:rsidP="000A14B4">
      <w:pPr>
        <w:spacing w:line="240" w:lineRule="auto"/>
        <w:rPr>
          <w:rFonts w:ascii="Verdana" w:hAnsi="Verdana"/>
        </w:rPr>
      </w:pPr>
      <w:r w:rsidRPr="00B77164">
        <w:rPr>
          <w:rFonts w:ascii="Verdana" w:hAnsi="Verdana"/>
        </w:rPr>
        <w:t xml:space="preserve">Now that Congress </w:t>
      </w:r>
      <w:r w:rsidR="00EC4F30" w:rsidRPr="00B77164">
        <w:rPr>
          <w:rFonts w:ascii="Verdana" w:hAnsi="Verdana"/>
        </w:rPr>
        <w:t>has</w:t>
      </w:r>
      <w:r w:rsidRPr="00B77164">
        <w:rPr>
          <w:rFonts w:ascii="Verdana" w:hAnsi="Verdana"/>
        </w:rPr>
        <w:t xml:space="preserve"> </w:t>
      </w:r>
      <w:r w:rsidR="0072109A">
        <w:rPr>
          <w:rFonts w:ascii="Verdana" w:hAnsi="Verdana"/>
        </w:rPr>
        <w:t>returned from</w:t>
      </w:r>
      <w:r w:rsidRPr="00B77164">
        <w:rPr>
          <w:rFonts w:ascii="Verdana" w:hAnsi="Verdana"/>
        </w:rPr>
        <w:t xml:space="preserve"> August recess, the</w:t>
      </w:r>
      <w:r w:rsidR="008225F1" w:rsidRPr="00B77164">
        <w:rPr>
          <w:rFonts w:ascii="Verdana" w:hAnsi="Verdana"/>
        </w:rPr>
        <w:t xml:space="preserve"> most urgent item is keeping the government funded beyond September 30, the end of the fiscal year</w:t>
      </w:r>
      <w:r w:rsidRPr="00B77164">
        <w:rPr>
          <w:rFonts w:ascii="Verdana" w:hAnsi="Verdana"/>
        </w:rPr>
        <w:t>. With appropriations still not finalized into law and the risk of government shutdown running high, here’s what’s on the table.</w:t>
      </w:r>
      <w:r w:rsidRPr="00B77164">
        <w:rPr>
          <w:rFonts w:ascii="Verdana" w:hAnsi="Verdana"/>
        </w:rPr>
        <w:br/>
      </w:r>
    </w:p>
    <w:p w14:paraId="44B0E05F" w14:textId="1DA1DEA1" w:rsidR="005C0EA6" w:rsidRPr="00B77164" w:rsidRDefault="005C0EA6" w:rsidP="00264DE5">
      <w:pPr>
        <w:spacing w:line="240" w:lineRule="auto"/>
        <w:rPr>
          <w:rFonts w:ascii="Verdana" w:hAnsi="Verdana"/>
          <w:b/>
          <w:bCs/>
        </w:rPr>
      </w:pPr>
      <w:r w:rsidRPr="00B77164">
        <w:rPr>
          <w:rFonts w:ascii="Verdana" w:hAnsi="Verdana"/>
          <w:b/>
          <w:bCs/>
        </w:rPr>
        <w:t>Navigating a Potential Government Shutdown</w:t>
      </w:r>
    </w:p>
    <w:p w14:paraId="2A2289C8" w14:textId="77777777" w:rsidR="00E97EF4" w:rsidRDefault="00E97EF4" w:rsidP="00264DE5">
      <w:pPr>
        <w:spacing w:line="240" w:lineRule="auto"/>
        <w:rPr>
          <w:rFonts w:ascii="Verdana" w:hAnsi="Verdana"/>
        </w:rPr>
      </w:pPr>
      <w:r w:rsidRPr="00E97EF4">
        <w:rPr>
          <w:rFonts w:ascii="Verdana" w:hAnsi="Verdana"/>
        </w:rPr>
        <w:t>The House and Senate have separately advanced most of the FY 2026 appropriations bills, which include stable or modestly increased funding for science, health, and education programs. However, none has been conferred and signed into law, and with less than a month before funding expires, Congress faces two possible paths forward.</w:t>
      </w:r>
    </w:p>
    <w:p w14:paraId="3BDB65D0" w14:textId="72FB34B9" w:rsidR="00264DE5" w:rsidRPr="00264DE5" w:rsidRDefault="00264DE5" w:rsidP="00264DE5">
      <w:pPr>
        <w:spacing w:line="240" w:lineRule="auto"/>
        <w:rPr>
          <w:rFonts w:ascii="Verdana" w:hAnsi="Verdana"/>
        </w:rPr>
      </w:pPr>
      <w:r w:rsidRPr="00264DE5">
        <w:rPr>
          <w:rFonts w:ascii="Verdana" w:hAnsi="Verdana"/>
        </w:rPr>
        <w:t xml:space="preserve">The first option is a </w:t>
      </w:r>
      <w:r w:rsidRPr="00264DE5">
        <w:rPr>
          <w:rFonts w:ascii="Verdana" w:hAnsi="Verdana"/>
          <w:b/>
          <w:bCs/>
        </w:rPr>
        <w:t xml:space="preserve">short-term continuing resolution (CR), </w:t>
      </w:r>
      <w:r w:rsidRPr="00264DE5">
        <w:rPr>
          <w:rFonts w:ascii="Verdana" w:hAnsi="Verdana"/>
        </w:rPr>
        <w:t>which would act as a safety net by extending FY 2025 funding levels into early November. This is considered the most likely scenario, giving lawmakers additional time to finalize FY 2026 appropriations. CRs have become routine since Congress has not passed all appropriations bills before the start of the fiscal year since 1997. If a CR is enacted, it will likely extend funding at FY 2025 levels, but appropriators may need to be more prescriptive than in the past, directing federal agencies to spend funds as intended rather than leaving allocations to Administration discretion. Without such guidance, the White House could implement lower funding levels, such as those proposed in the President’s FY 2026 budget.</w:t>
      </w:r>
    </w:p>
    <w:p w14:paraId="6ADDB307" w14:textId="0F478BD8" w:rsidR="00264DE5" w:rsidRPr="00264DE5" w:rsidRDefault="00264DE5" w:rsidP="00264DE5">
      <w:pPr>
        <w:spacing w:line="240" w:lineRule="auto"/>
        <w:rPr>
          <w:rFonts w:ascii="Verdana" w:hAnsi="Verdana"/>
        </w:rPr>
      </w:pPr>
      <w:r w:rsidRPr="00264DE5">
        <w:rPr>
          <w:rFonts w:ascii="Verdana" w:hAnsi="Verdana"/>
        </w:rPr>
        <w:t xml:space="preserve">The second option is a </w:t>
      </w:r>
      <w:r w:rsidRPr="00264DE5">
        <w:rPr>
          <w:rFonts w:ascii="Verdana" w:hAnsi="Verdana"/>
          <w:b/>
          <w:bCs/>
        </w:rPr>
        <w:t>government shutdown.</w:t>
      </w:r>
      <w:r w:rsidRPr="00264DE5">
        <w:rPr>
          <w:rFonts w:ascii="Verdana" w:hAnsi="Verdana"/>
        </w:rPr>
        <w:t xml:space="preserve"> While many lawmakers want to avoid a shutdown, the </w:t>
      </w:r>
      <w:r w:rsidR="002E7D00" w:rsidRPr="00B77164">
        <w:rPr>
          <w:rFonts w:ascii="Verdana" w:hAnsi="Verdana"/>
        </w:rPr>
        <w:t>possibility</w:t>
      </w:r>
      <w:r w:rsidRPr="00264DE5">
        <w:rPr>
          <w:rFonts w:ascii="Verdana" w:hAnsi="Verdana"/>
        </w:rPr>
        <w:t xml:space="preserve"> remains high. Some conservative Republicans view a shutdown as an opportunity to give the Administration greater discretion to prioritize border patrol and immigration enforcement over science and education programs. </w:t>
      </w:r>
      <w:r w:rsidR="00C1345C" w:rsidRPr="00B77164">
        <w:rPr>
          <w:rFonts w:ascii="Verdana" w:hAnsi="Verdana"/>
        </w:rPr>
        <w:t>Democrats, meanwhile, are preparing for potential disagreements with the Trump Administration, which has previously withheld or redirected funds in ways that diverged from congressional intent</w:t>
      </w:r>
      <w:r w:rsidRPr="00264DE5">
        <w:rPr>
          <w:rFonts w:ascii="Verdana" w:hAnsi="Verdana"/>
        </w:rPr>
        <w:t xml:space="preserve">. This includes $9 billion in clawed-back foreign aid and public broadcasting funds, with additional rescissions targeting the Education Department expected. Democrats also contend that the Administration has illegally impounded funds in violation of the Impoundment Control Act of 1974, with the GAO finding five instances of illegal impoundment this year and another 35 cases under review. The White House Office of Management and Budget </w:t>
      </w:r>
      <w:r w:rsidR="00D01B29" w:rsidRPr="00B77164">
        <w:rPr>
          <w:rFonts w:ascii="Verdana" w:hAnsi="Verdana"/>
        </w:rPr>
        <w:t>are</w:t>
      </w:r>
      <w:r w:rsidRPr="00264DE5">
        <w:rPr>
          <w:rFonts w:ascii="Verdana" w:hAnsi="Verdana"/>
        </w:rPr>
        <w:t xml:space="preserve"> reportedly considering up to $400 billion in “pocket rescissions,” a tactic that could allow funding to lapse if Congress does not act quickly.</w:t>
      </w:r>
    </w:p>
    <w:p w14:paraId="562A04E9" w14:textId="77777777" w:rsidR="00264DE5" w:rsidRPr="00264DE5" w:rsidRDefault="00264DE5" w:rsidP="00264DE5">
      <w:pPr>
        <w:spacing w:line="240" w:lineRule="auto"/>
        <w:rPr>
          <w:rFonts w:ascii="Verdana" w:hAnsi="Verdana"/>
        </w:rPr>
      </w:pPr>
      <w:r w:rsidRPr="00264DE5">
        <w:rPr>
          <w:rFonts w:ascii="Verdana" w:hAnsi="Verdana"/>
        </w:rPr>
        <w:t xml:space="preserve">The impact of a shutdown would depend on its duration. A short shutdown of a few days would likely have minimal effects on research and academic programs. </w:t>
      </w:r>
      <w:r w:rsidRPr="00264DE5">
        <w:rPr>
          <w:rFonts w:ascii="Verdana" w:hAnsi="Verdana"/>
        </w:rPr>
        <w:lastRenderedPageBreak/>
        <w:t>However, a prolonged shutdown could result in federal employee furloughs, suspended contracts, and significant delays in processing grants and renewals, even after the government reopens.</w:t>
      </w:r>
    </w:p>
    <w:p w14:paraId="376992A8" w14:textId="61A63BD4" w:rsidR="00D01B29" w:rsidRPr="00B77164" w:rsidRDefault="00264DE5" w:rsidP="000A14B4">
      <w:pPr>
        <w:spacing w:line="240" w:lineRule="auto"/>
        <w:rPr>
          <w:rFonts w:ascii="Verdana" w:hAnsi="Verdana"/>
        </w:rPr>
      </w:pPr>
      <w:r w:rsidRPr="00264DE5">
        <w:rPr>
          <w:rFonts w:ascii="Verdana" w:hAnsi="Verdana"/>
        </w:rPr>
        <w:t>Despite these risks, congressional appropriators remain optimistic that a final FY 2026 spending package is achievable. Both House and Senate bills include language directing the Administration to spend funding on specific programs, preventing actions like imposing a 15 percent indirect cost cap on higher education. Earmarks are also part of the discussion, with House Republicans including nearly $8 billion in their FY 2026 bills.</w:t>
      </w:r>
    </w:p>
    <w:p w14:paraId="049C9437" w14:textId="77777777" w:rsidR="00D01B29" w:rsidRPr="00B77164" w:rsidRDefault="00D01B29" w:rsidP="000A14B4">
      <w:pPr>
        <w:spacing w:line="240" w:lineRule="auto"/>
        <w:rPr>
          <w:rFonts w:ascii="Verdana" w:hAnsi="Verdana"/>
        </w:rPr>
      </w:pPr>
    </w:p>
    <w:p w14:paraId="170DB472" w14:textId="4BF59549" w:rsidR="00513F7C" w:rsidRPr="00B77164" w:rsidRDefault="00513F7C" w:rsidP="00513F7C">
      <w:pPr>
        <w:spacing w:line="240" w:lineRule="auto"/>
        <w:rPr>
          <w:rFonts w:ascii="Verdana" w:hAnsi="Verdana"/>
          <w:b/>
          <w:bCs/>
        </w:rPr>
      </w:pPr>
      <w:r w:rsidRPr="00B77164">
        <w:rPr>
          <w:rFonts w:ascii="Verdana" w:hAnsi="Verdana"/>
          <w:b/>
          <w:bCs/>
        </w:rPr>
        <w:t>Key</w:t>
      </w:r>
      <w:r w:rsidR="00EA6D5C" w:rsidRPr="00B77164">
        <w:rPr>
          <w:rFonts w:ascii="Verdana" w:hAnsi="Verdana"/>
          <w:b/>
          <w:bCs/>
        </w:rPr>
        <w:t xml:space="preserve"> Congressional</w:t>
      </w:r>
      <w:r w:rsidRPr="00B77164">
        <w:rPr>
          <w:rFonts w:ascii="Verdana" w:hAnsi="Verdana"/>
          <w:b/>
          <w:bCs/>
        </w:rPr>
        <w:t xml:space="preserve"> Legislation</w:t>
      </w:r>
      <w:r w:rsidR="00EA6D5C" w:rsidRPr="00B77164">
        <w:rPr>
          <w:rFonts w:ascii="Verdana" w:hAnsi="Verdana"/>
          <w:b/>
          <w:bCs/>
        </w:rPr>
        <w:t xml:space="preserve"> from NDAA to Labor-HHS</w:t>
      </w:r>
      <w:r w:rsidR="008E2452" w:rsidRPr="00B77164">
        <w:rPr>
          <w:rFonts w:ascii="Verdana" w:hAnsi="Verdana"/>
          <w:b/>
          <w:bCs/>
        </w:rPr>
        <w:t xml:space="preserve"> </w:t>
      </w:r>
    </w:p>
    <w:p w14:paraId="4C57E7A4" w14:textId="23D50D1F" w:rsidR="001E01E1" w:rsidRPr="00B77164" w:rsidRDefault="001E01E1" w:rsidP="001D4620">
      <w:pPr>
        <w:spacing w:line="240" w:lineRule="auto"/>
        <w:rPr>
          <w:rFonts w:ascii="Verdana" w:hAnsi="Verdana"/>
        </w:rPr>
      </w:pPr>
      <w:r w:rsidRPr="00B77164">
        <w:rPr>
          <w:rFonts w:ascii="Verdana" w:hAnsi="Verdana"/>
        </w:rPr>
        <w:t xml:space="preserve">Beyond appropriations, Congress must also address several major legislative priorities, including the annual defense policy bill, expiring Farm Bill provisions, and the extension of community health center funding and telehealth flexibilities. The </w:t>
      </w:r>
      <w:hyperlink r:id="rId10" w:history="1">
        <w:r w:rsidR="00B77164">
          <w:rPr>
            <w:rStyle w:val="Hyperlink"/>
            <w:rFonts w:ascii="Verdana" w:hAnsi="Verdana"/>
          </w:rPr>
          <w:t>National Defense Authorization Act (NDAA) passed the House</w:t>
        </w:r>
      </w:hyperlink>
      <w:r w:rsidR="00B77164">
        <w:rPr>
          <w:rFonts w:ascii="Verdana" w:hAnsi="Verdana"/>
        </w:rPr>
        <w:t xml:space="preserve"> on September</w:t>
      </w:r>
      <w:r w:rsidRPr="00B77164">
        <w:rPr>
          <w:rFonts w:ascii="Verdana" w:hAnsi="Verdana"/>
        </w:rPr>
        <w:t xml:space="preserve"> 10 and is expected to become law by the end of the year. It may also serve as a vehicle to pass other legislation, such as the National Quantum Reauthorization Act or new Artificial Intelligence programs. Expiring Farm Bill and healthcare-related programs will likely be addressed either through a continuing resolution (CR) or the final FY 2026 spending package.</w:t>
      </w:r>
    </w:p>
    <w:p w14:paraId="401E48CB" w14:textId="176B179D" w:rsidR="00655D1C" w:rsidRPr="00655D1C" w:rsidRDefault="00655D1C" w:rsidP="00655D1C">
      <w:pPr>
        <w:spacing w:line="240" w:lineRule="auto"/>
        <w:rPr>
          <w:rFonts w:ascii="Verdana" w:hAnsi="Verdana"/>
        </w:rPr>
      </w:pPr>
      <w:r w:rsidRPr="00655D1C">
        <w:rPr>
          <w:rFonts w:ascii="Verdana" w:hAnsi="Verdana"/>
        </w:rPr>
        <w:t xml:space="preserve">On September 9, the full House Appropriations Committee approved </w:t>
      </w:r>
      <w:hyperlink r:id="rId11" w:history="1">
        <w:r w:rsidRPr="00655D1C">
          <w:rPr>
            <w:rStyle w:val="Hyperlink"/>
            <w:rFonts w:ascii="Verdana" w:hAnsi="Verdana"/>
          </w:rPr>
          <w:t>FY 2026 Labor, Health and Human Services, and Education (L-HHS-ED) bill</w:t>
        </w:r>
      </w:hyperlink>
      <w:r w:rsidRPr="00655D1C">
        <w:rPr>
          <w:rFonts w:ascii="Verdana" w:hAnsi="Verdana"/>
        </w:rPr>
        <w:t xml:space="preserve"> along party lines, with all Republicans supporting and all Democrats opposing. The bill proposes approximately $184.5 billion in discretionary funding for FY 2026, covering biomedical research, public health activities, education, workforce programs, and other priorities. This amount is roughly $13.7 billion below FY 2025 enacted funding and $12.5 billion below the Senate L-HHS-ED proposal.</w:t>
      </w:r>
    </w:p>
    <w:p w14:paraId="64DB6E7B" w14:textId="2A5474F0" w:rsidR="00655D1C" w:rsidRPr="00655D1C" w:rsidRDefault="00655D1C" w:rsidP="00655D1C">
      <w:pPr>
        <w:spacing w:line="240" w:lineRule="auto"/>
        <w:rPr>
          <w:rFonts w:ascii="Verdana" w:hAnsi="Verdana"/>
        </w:rPr>
      </w:pPr>
      <w:r w:rsidRPr="00655D1C">
        <w:rPr>
          <w:rFonts w:ascii="Verdana" w:hAnsi="Verdana"/>
        </w:rPr>
        <w:t xml:space="preserve">Both chambers propose modest increases for the National Institutes of Health (NIH), </w:t>
      </w:r>
      <w:r w:rsidR="00124ED9" w:rsidRPr="00B77164">
        <w:rPr>
          <w:rFonts w:ascii="Verdana" w:hAnsi="Verdana"/>
        </w:rPr>
        <w:t>compared to the</w:t>
      </w:r>
      <w:r w:rsidRPr="00655D1C">
        <w:rPr>
          <w:rFonts w:ascii="Verdana" w:hAnsi="Verdana"/>
        </w:rPr>
        <w:t xml:space="preserve"> 40</w:t>
      </w:r>
      <w:r w:rsidR="00124ED9" w:rsidRPr="00B77164">
        <w:rPr>
          <w:rFonts w:ascii="Verdana" w:hAnsi="Verdana"/>
        </w:rPr>
        <w:t xml:space="preserve">% reduction </w:t>
      </w:r>
      <w:r w:rsidRPr="00655D1C">
        <w:rPr>
          <w:rFonts w:ascii="Verdana" w:hAnsi="Verdana"/>
        </w:rPr>
        <w:t xml:space="preserve">suggested </w:t>
      </w:r>
      <w:r w:rsidR="00124ED9" w:rsidRPr="00B77164">
        <w:rPr>
          <w:rFonts w:ascii="Verdana" w:hAnsi="Verdana"/>
        </w:rPr>
        <w:t>from the</w:t>
      </w:r>
      <w:r w:rsidRPr="00655D1C">
        <w:rPr>
          <w:rFonts w:ascii="Verdana" w:hAnsi="Verdana"/>
        </w:rPr>
        <w:t xml:space="preserve"> President</w:t>
      </w:r>
      <w:r w:rsidR="002E7D00" w:rsidRPr="00B77164">
        <w:rPr>
          <w:rFonts w:ascii="Verdana" w:hAnsi="Verdana"/>
        </w:rPr>
        <w:t>’s budget</w:t>
      </w:r>
      <w:r w:rsidRPr="00655D1C">
        <w:rPr>
          <w:rFonts w:ascii="Verdana" w:hAnsi="Verdana"/>
        </w:rPr>
        <w:t>. However, the House bill includes significant cuts for ARPA-H and NIOSH, and it proposes eliminating the Agency for Healthcare Research and Quality (AHRQ), while the Senate bill leaves room for negotiation on final funding levels.</w:t>
      </w:r>
    </w:p>
    <w:p w14:paraId="03D03C7B" w14:textId="67A2D3D5" w:rsidR="00513F7C" w:rsidRPr="00B77164" w:rsidRDefault="00513F7C" w:rsidP="00513F7C">
      <w:pPr>
        <w:spacing w:line="240" w:lineRule="auto"/>
        <w:rPr>
          <w:rFonts w:ascii="Verdana" w:hAnsi="Verdana"/>
        </w:rPr>
      </w:pPr>
      <w:r w:rsidRPr="00B77164">
        <w:rPr>
          <w:rFonts w:ascii="Verdana" w:hAnsi="Verdana"/>
        </w:rPr>
        <w:t>Congress may also take up the NASA Reauthorization Act to protect key space programs and projects from major cuts proposed by the Trump Administration, and the Workforce Innovation and Opportunity Act also boasts continued bipartisan interest. Congress will continue to make progress on bills that may become a part of major legislation next year, such as the Energy Act and Surface Transportation Reauthorization. While House Republicans have discussed another reconciliation package, it is unlikely to be a priority considering the long list of other to-do items.</w:t>
      </w:r>
    </w:p>
    <w:p w14:paraId="6BA8FFB5" w14:textId="77777777" w:rsidR="00AC7FB4" w:rsidRPr="00B77164" w:rsidRDefault="00AC7FB4" w:rsidP="00513F7C">
      <w:pPr>
        <w:spacing w:line="240" w:lineRule="auto"/>
        <w:rPr>
          <w:rFonts w:ascii="Verdana" w:hAnsi="Verdana"/>
        </w:rPr>
      </w:pPr>
    </w:p>
    <w:p w14:paraId="32D87480" w14:textId="557E16E6" w:rsidR="00CF2183" w:rsidRPr="00B77164" w:rsidRDefault="00367A9C" w:rsidP="000A14B4">
      <w:pPr>
        <w:spacing w:line="240" w:lineRule="auto"/>
        <w:rPr>
          <w:rFonts w:ascii="Verdana" w:hAnsi="Verdana"/>
          <w:b/>
          <w:bCs/>
        </w:rPr>
      </w:pPr>
      <w:r w:rsidRPr="00B77164">
        <w:rPr>
          <w:rFonts w:ascii="Verdana" w:hAnsi="Verdana"/>
          <w:b/>
          <w:bCs/>
        </w:rPr>
        <w:lastRenderedPageBreak/>
        <w:t>Make America Healthy Again (MAHA) Commission Releases Strategy Report on Chronic Childhood Disease</w:t>
      </w:r>
      <w:r w:rsidR="001D4620" w:rsidRPr="00B77164">
        <w:rPr>
          <w:rFonts w:ascii="Verdana" w:hAnsi="Verdana"/>
          <w:b/>
          <w:bCs/>
        </w:rPr>
        <w:t xml:space="preserve"> </w:t>
      </w:r>
    </w:p>
    <w:p w14:paraId="25D22A35" w14:textId="38E84F61" w:rsidR="00CF2183" w:rsidRPr="00B77164" w:rsidRDefault="00CF2183" w:rsidP="00CF2183">
      <w:pPr>
        <w:spacing w:line="240" w:lineRule="auto"/>
        <w:rPr>
          <w:rFonts w:ascii="Verdana" w:hAnsi="Verdana"/>
        </w:rPr>
      </w:pPr>
      <w:r w:rsidRPr="00B77164">
        <w:rPr>
          <w:rFonts w:ascii="Verdana" w:hAnsi="Verdana"/>
        </w:rPr>
        <w:t>On September 9, the Trump Administration’s Make America Healthy Again (MAHA) Commission released its long anticipated </w:t>
      </w:r>
      <w:hyperlink r:id="rId12" w:tooltip="https://www.whitehouse.gov/wp-content/uploads/2025/09/The-MAHA-Strategy-WH.pdf" w:history="1">
        <w:r w:rsidRPr="00B77164">
          <w:rPr>
            <w:rStyle w:val="Hyperlink"/>
            <w:rFonts w:ascii="Verdana" w:hAnsi="Verdana"/>
          </w:rPr>
          <w:t>strategy report</w:t>
        </w:r>
      </w:hyperlink>
      <w:r w:rsidRPr="00B77164">
        <w:rPr>
          <w:rFonts w:ascii="Verdana" w:hAnsi="Verdana"/>
        </w:rPr>
        <w:t> to </w:t>
      </w:r>
      <w:r w:rsidRPr="00B77164">
        <w:rPr>
          <w:rFonts w:ascii="Verdana" w:hAnsi="Verdana"/>
          <w:i/>
          <w:iCs/>
        </w:rPr>
        <w:t>Make Our Children Healthy Again</w:t>
      </w:r>
      <w:r w:rsidRPr="00B77164">
        <w:rPr>
          <w:rFonts w:ascii="Verdana" w:hAnsi="Verdana"/>
        </w:rPr>
        <w:t>. In February, President Trump signed an Executive Order (EO) establishing the </w:t>
      </w:r>
      <w:hyperlink r:id="rId13" w:tooltip="https://www.whitehouse.gov/presidential-actions/2025/02/establishing-the-presidents-make-america-healthy-again-commission/" w:history="1">
        <w:r w:rsidRPr="00B77164">
          <w:rPr>
            <w:rStyle w:val="Hyperlink"/>
            <w:rFonts w:ascii="Verdana" w:hAnsi="Verdana"/>
          </w:rPr>
          <w:t>MAHA Commission</w:t>
        </w:r>
      </w:hyperlink>
      <w:r w:rsidRPr="00B77164">
        <w:rPr>
          <w:rFonts w:ascii="Verdana" w:hAnsi="Verdana"/>
        </w:rPr>
        <w:t>, comprised of leaders from key health, agricultural, environmental and economic agencies to reduce the burden of chronic disease among U.S. youth. The EO directed the Commission to develop an </w:t>
      </w:r>
      <w:hyperlink r:id="rId14" w:tooltip="https://www.whitehouse.gov/wp-content/uploads/2025/05/MAHA-Report-The-White-House.pdf" w:history="1">
        <w:r w:rsidRPr="00B77164">
          <w:rPr>
            <w:rStyle w:val="Hyperlink"/>
            <w:rFonts w:ascii="Verdana" w:hAnsi="Verdana"/>
          </w:rPr>
          <w:t>assessment report</w:t>
        </w:r>
      </w:hyperlink>
      <w:r w:rsidRPr="00B77164">
        <w:rPr>
          <w:rFonts w:ascii="Verdana" w:hAnsi="Verdana"/>
        </w:rPr>
        <w:t> identifying the main drivers of childhood chronic disease and then produce a strategic report to lay out a federal interagency plan to combat the assessment’s findings. </w:t>
      </w:r>
      <w:r w:rsidRPr="00B77164">
        <w:rPr>
          <w:rFonts w:ascii="Verdana" w:hAnsi="Verdana"/>
        </w:rPr>
        <w:br/>
      </w:r>
    </w:p>
    <w:p w14:paraId="0AAA048E" w14:textId="57075F02" w:rsidR="00CF2183" w:rsidRPr="00B77164" w:rsidRDefault="00CF2183" w:rsidP="00CF2183">
      <w:pPr>
        <w:spacing w:line="240" w:lineRule="auto"/>
        <w:rPr>
          <w:rFonts w:ascii="Verdana" w:hAnsi="Verdana"/>
        </w:rPr>
      </w:pPr>
      <w:r w:rsidRPr="00B77164">
        <w:rPr>
          <w:rFonts w:ascii="Verdana" w:hAnsi="Verdana"/>
        </w:rPr>
        <w:t>The assessment report identified four potential drivers of the childhood chronic disease crisis: poor diet, chemical exposures, lack of physical activity and increased chronic stress, and overmedicalization. In response to the assessment, the Commission outlines four primary directives in its strategy report to end childhood chronic disease: advance research, realign incentives to drive innovation, increase public awareness, and foster private sector collaboration.</w:t>
      </w:r>
      <w:r w:rsidR="00FB2EAA" w:rsidRPr="00B77164">
        <w:rPr>
          <w:rFonts w:ascii="Verdana" w:hAnsi="Verdana"/>
        </w:rPr>
        <w:t xml:space="preserve"> The success of the strategy will depend on how federal agencies, Congress, and private partners implement these recommendations in the coming months.</w:t>
      </w:r>
    </w:p>
    <w:p w14:paraId="20C1F448" w14:textId="77777777" w:rsidR="00CF2183" w:rsidRPr="00CF2183" w:rsidRDefault="00CF2183" w:rsidP="000A14B4">
      <w:pPr>
        <w:spacing w:line="240" w:lineRule="auto"/>
        <w:rPr>
          <w:rFonts w:ascii="Verdana" w:hAnsi="Verdana"/>
          <w:b/>
          <w:bCs/>
        </w:rPr>
      </w:pPr>
    </w:p>
    <w:sectPr w:rsidR="00CF2183" w:rsidRPr="00CF218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F91E2" w14:textId="77777777" w:rsidR="00C56501" w:rsidRDefault="00C56501" w:rsidP="000F03C1">
      <w:pPr>
        <w:spacing w:after="0" w:line="240" w:lineRule="auto"/>
      </w:pPr>
      <w:r>
        <w:separator/>
      </w:r>
    </w:p>
  </w:endnote>
  <w:endnote w:type="continuationSeparator" w:id="0">
    <w:p w14:paraId="0B997924" w14:textId="77777777" w:rsidR="00C56501" w:rsidRDefault="00C56501" w:rsidP="000F03C1">
      <w:pPr>
        <w:spacing w:after="0" w:line="240" w:lineRule="auto"/>
      </w:pPr>
      <w:r>
        <w:continuationSeparator/>
      </w:r>
    </w:p>
  </w:endnote>
  <w:endnote w:type="continuationNotice" w:id="1">
    <w:p w14:paraId="4EDAEC1F" w14:textId="77777777" w:rsidR="00C56501" w:rsidRDefault="00C56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49147" w14:textId="77777777" w:rsidR="00C56501" w:rsidRDefault="00C56501" w:rsidP="000F03C1">
      <w:pPr>
        <w:spacing w:after="0" w:line="240" w:lineRule="auto"/>
      </w:pPr>
      <w:r>
        <w:separator/>
      </w:r>
    </w:p>
  </w:footnote>
  <w:footnote w:type="continuationSeparator" w:id="0">
    <w:p w14:paraId="78217C9B" w14:textId="77777777" w:rsidR="00C56501" w:rsidRDefault="00C56501" w:rsidP="000F03C1">
      <w:pPr>
        <w:spacing w:after="0" w:line="240" w:lineRule="auto"/>
      </w:pPr>
      <w:r>
        <w:continuationSeparator/>
      </w:r>
    </w:p>
  </w:footnote>
  <w:footnote w:type="continuationNotice" w:id="1">
    <w:p w14:paraId="660F6918" w14:textId="77777777" w:rsidR="00C56501" w:rsidRDefault="00C56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91EF" w14:textId="33783416" w:rsidR="000F03C1" w:rsidRDefault="000F03C1" w:rsidP="000F03C1">
    <w:pPr>
      <w:pStyle w:val="Header"/>
      <w:jc w:val="center"/>
    </w:pPr>
    <w:r>
      <w:rPr>
        <w:noProof/>
      </w:rPr>
      <w:drawing>
        <wp:inline distT="0" distB="0" distL="0" distR="0" wp14:anchorId="25730AA8" wp14:editId="496CA0A1">
          <wp:extent cx="2505710" cy="676910"/>
          <wp:effectExtent l="0" t="0" r="8890" b="8890"/>
          <wp:docPr id="1" name="Picture 1" descr="A purple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lin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710" cy="67691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985"/>
    <w:multiLevelType w:val="multilevel"/>
    <w:tmpl w:val="569E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341A4"/>
    <w:multiLevelType w:val="multilevel"/>
    <w:tmpl w:val="E9B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5223C"/>
    <w:multiLevelType w:val="multilevel"/>
    <w:tmpl w:val="46BC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C3385"/>
    <w:multiLevelType w:val="multilevel"/>
    <w:tmpl w:val="7FD22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547B1"/>
    <w:multiLevelType w:val="multilevel"/>
    <w:tmpl w:val="3222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B1A50"/>
    <w:multiLevelType w:val="multilevel"/>
    <w:tmpl w:val="2616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51705"/>
    <w:multiLevelType w:val="multilevel"/>
    <w:tmpl w:val="8708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754099"/>
    <w:multiLevelType w:val="multilevel"/>
    <w:tmpl w:val="DE3E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E6C6B"/>
    <w:multiLevelType w:val="multilevel"/>
    <w:tmpl w:val="0388D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03743D"/>
    <w:multiLevelType w:val="multilevel"/>
    <w:tmpl w:val="1950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623751">
    <w:abstractNumId w:val="8"/>
  </w:num>
  <w:num w:numId="2" w16cid:durableId="1111710087">
    <w:abstractNumId w:val="0"/>
  </w:num>
  <w:num w:numId="3" w16cid:durableId="2104838629">
    <w:abstractNumId w:val="7"/>
  </w:num>
  <w:num w:numId="4" w16cid:durableId="1678927015">
    <w:abstractNumId w:val="5"/>
  </w:num>
  <w:num w:numId="5" w16cid:durableId="792867903">
    <w:abstractNumId w:val="3"/>
  </w:num>
  <w:num w:numId="6" w16cid:durableId="847914248">
    <w:abstractNumId w:val="2"/>
  </w:num>
  <w:num w:numId="7" w16cid:durableId="1982076262">
    <w:abstractNumId w:val="6"/>
  </w:num>
  <w:num w:numId="8" w16cid:durableId="622349694">
    <w:abstractNumId w:val="4"/>
  </w:num>
  <w:num w:numId="9" w16cid:durableId="812717947">
    <w:abstractNumId w:val="9"/>
  </w:num>
  <w:num w:numId="10" w16cid:durableId="21570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E1"/>
    <w:rsid w:val="0001013A"/>
    <w:rsid w:val="00012827"/>
    <w:rsid w:val="000140EF"/>
    <w:rsid w:val="0001589B"/>
    <w:rsid w:val="000160E9"/>
    <w:rsid w:val="000172AE"/>
    <w:rsid w:val="000202C8"/>
    <w:rsid w:val="00023614"/>
    <w:rsid w:val="00023765"/>
    <w:rsid w:val="00023DED"/>
    <w:rsid w:val="0002476C"/>
    <w:rsid w:val="00027917"/>
    <w:rsid w:val="00027B83"/>
    <w:rsid w:val="00032414"/>
    <w:rsid w:val="00037979"/>
    <w:rsid w:val="00040BB8"/>
    <w:rsid w:val="00042DDC"/>
    <w:rsid w:val="00043069"/>
    <w:rsid w:val="00046199"/>
    <w:rsid w:val="000465C3"/>
    <w:rsid w:val="00046A5B"/>
    <w:rsid w:val="00050D20"/>
    <w:rsid w:val="000529F1"/>
    <w:rsid w:val="00053D6C"/>
    <w:rsid w:val="00056628"/>
    <w:rsid w:val="0006068C"/>
    <w:rsid w:val="00061AC4"/>
    <w:rsid w:val="000629F1"/>
    <w:rsid w:val="00063C6A"/>
    <w:rsid w:val="000716F4"/>
    <w:rsid w:val="000717AF"/>
    <w:rsid w:val="000727B3"/>
    <w:rsid w:val="00073121"/>
    <w:rsid w:val="0007596E"/>
    <w:rsid w:val="00082EF9"/>
    <w:rsid w:val="00085A2A"/>
    <w:rsid w:val="00086F68"/>
    <w:rsid w:val="000976B9"/>
    <w:rsid w:val="000A0AD0"/>
    <w:rsid w:val="000A14B4"/>
    <w:rsid w:val="000B0757"/>
    <w:rsid w:val="000B2255"/>
    <w:rsid w:val="000B3C36"/>
    <w:rsid w:val="000B5B9B"/>
    <w:rsid w:val="000B683B"/>
    <w:rsid w:val="000C03C7"/>
    <w:rsid w:val="000C6883"/>
    <w:rsid w:val="000C702B"/>
    <w:rsid w:val="000D1666"/>
    <w:rsid w:val="000D2061"/>
    <w:rsid w:val="000D3589"/>
    <w:rsid w:val="000D3F0F"/>
    <w:rsid w:val="000D7E7B"/>
    <w:rsid w:val="000E2770"/>
    <w:rsid w:val="000E4E5F"/>
    <w:rsid w:val="000E54E1"/>
    <w:rsid w:val="000E6C3D"/>
    <w:rsid w:val="000F03C1"/>
    <w:rsid w:val="000F4357"/>
    <w:rsid w:val="000F4FE1"/>
    <w:rsid w:val="000F714B"/>
    <w:rsid w:val="00100D94"/>
    <w:rsid w:val="001034C0"/>
    <w:rsid w:val="00104248"/>
    <w:rsid w:val="001149E5"/>
    <w:rsid w:val="00116C0E"/>
    <w:rsid w:val="001222DC"/>
    <w:rsid w:val="00123316"/>
    <w:rsid w:val="00124ED9"/>
    <w:rsid w:val="001275B6"/>
    <w:rsid w:val="00131E82"/>
    <w:rsid w:val="00135441"/>
    <w:rsid w:val="001447AF"/>
    <w:rsid w:val="001477DC"/>
    <w:rsid w:val="00156BE9"/>
    <w:rsid w:val="00156F70"/>
    <w:rsid w:val="00157725"/>
    <w:rsid w:val="001614CF"/>
    <w:rsid w:val="00163B0E"/>
    <w:rsid w:val="00164C3C"/>
    <w:rsid w:val="0017047B"/>
    <w:rsid w:val="00170B22"/>
    <w:rsid w:val="00180F2B"/>
    <w:rsid w:val="0018120D"/>
    <w:rsid w:val="001828A3"/>
    <w:rsid w:val="00186333"/>
    <w:rsid w:val="00186AD2"/>
    <w:rsid w:val="0018722E"/>
    <w:rsid w:val="00187B5E"/>
    <w:rsid w:val="0019222D"/>
    <w:rsid w:val="00194D62"/>
    <w:rsid w:val="00195675"/>
    <w:rsid w:val="0019579C"/>
    <w:rsid w:val="00197201"/>
    <w:rsid w:val="001A1317"/>
    <w:rsid w:val="001A53A2"/>
    <w:rsid w:val="001A5AD2"/>
    <w:rsid w:val="001B1884"/>
    <w:rsid w:val="001B25C7"/>
    <w:rsid w:val="001C22B9"/>
    <w:rsid w:val="001C2EE5"/>
    <w:rsid w:val="001C6461"/>
    <w:rsid w:val="001D0349"/>
    <w:rsid w:val="001D0A33"/>
    <w:rsid w:val="001D4620"/>
    <w:rsid w:val="001D46D6"/>
    <w:rsid w:val="001D52EB"/>
    <w:rsid w:val="001D6E0A"/>
    <w:rsid w:val="001D787A"/>
    <w:rsid w:val="001E01E1"/>
    <w:rsid w:val="001E0EE7"/>
    <w:rsid w:val="001E44DD"/>
    <w:rsid w:val="001E607D"/>
    <w:rsid w:val="001E6413"/>
    <w:rsid w:val="001F2990"/>
    <w:rsid w:val="001F67C8"/>
    <w:rsid w:val="00201F7B"/>
    <w:rsid w:val="00202125"/>
    <w:rsid w:val="00214A72"/>
    <w:rsid w:val="00220DB9"/>
    <w:rsid w:val="00221F9B"/>
    <w:rsid w:val="002250E8"/>
    <w:rsid w:val="0022565C"/>
    <w:rsid w:val="00234E6D"/>
    <w:rsid w:val="0023520C"/>
    <w:rsid w:val="002409AA"/>
    <w:rsid w:val="00251EF7"/>
    <w:rsid w:val="00253CE1"/>
    <w:rsid w:val="00261BAE"/>
    <w:rsid w:val="002620D0"/>
    <w:rsid w:val="00263E97"/>
    <w:rsid w:val="00264DE5"/>
    <w:rsid w:val="0026725D"/>
    <w:rsid w:val="002718FE"/>
    <w:rsid w:val="00271C79"/>
    <w:rsid w:val="00272AC5"/>
    <w:rsid w:val="002752F0"/>
    <w:rsid w:val="002763FC"/>
    <w:rsid w:val="00277E54"/>
    <w:rsid w:val="0028144F"/>
    <w:rsid w:val="00284380"/>
    <w:rsid w:val="00284A3D"/>
    <w:rsid w:val="00287E80"/>
    <w:rsid w:val="0029555E"/>
    <w:rsid w:val="00295C19"/>
    <w:rsid w:val="002A39FF"/>
    <w:rsid w:val="002A3CF7"/>
    <w:rsid w:val="002A6C0D"/>
    <w:rsid w:val="002B037B"/>
    <w:rsid w:val="002C07E6"/>
    <w:rsid w:val="002C0D31"/>
    <w:rsid w:val="002C288C"/>
    <w:rsid w:val="002C4BEA"/>
    <w:rsid w:val="002C4C70"/>
    <w:rsid w:val="002C4CE0"/>
    <w:rsid w:val="002C7487"/>
    <w:rsid w:val="002D0EA3"/>
    <w:rsid w:val="002D26FF"/>
    <w:rsid w:val="002D2EAA"/>
    <w:rsid w:val="002E1129"/>
    <w:rsid w:val="002E27B8"/>
    <w:rsid w:val="002E52FF"/>
    <w:rsid w:val="002E5620"/>
    <w:rsid w:val="002E7D00"/>
    <w:rsid w:val="002F0356"/>
    <w:rsid w:val="002F0F08"/>
    <w:rsid w:val="002F62BD"/>
    <w:rsid w:val="003024B2"/>
    <w:rsid w:val="00302551"/>
    <w:rsid w:val="00307FF7"/>
    <w:rsid w:val="00317B87"/>
    <w:rsid w:val="00324FB0"/>
    <w:rsid w:val="00327CD9"/>
    <w:rsid w:val="00332708"/>
    <w:rsid w:val="003340D6"/>
    <w:rsid w:val="00334565"/>
    <w:rsid w:val="003353FF"/>
    <w:rsid w:val="00337A53"/>
    <w:rsid w:val="003441A0"/>
    <w:rsid w:val="00344215"/>
    <w:rsid w:val="00344D1B"/>
    <w:rsid w:val="00346E8B"/>
    <w:rsid w:val="0034787C"/>
    <w:rsid w:val="00347C01"/>
    <w:rsid w:val="003515BD"/>
    <w:rsid w:val="00351C46"/>
    <w:rsid w:val="00355847"/>
    <w:rsid w:val="00362737"/>
    <w:rsid w:val="00363E83"/>
    <w:rsid w:val="0036785E"/>
    <w:rsid w:val="00367A9C"/>
    <w:rsid w:val="003807A6"/>
    <w:rsid w:val="003842F6"/>
    <w:rsid w:val="003A010B"/>
    <w:rsid w:val="003A0A6C"/>
    <w:rsid w:val="003A0D22"/>
    <w:rsid w:val="003A145D"/>
    <w:rsid w:val="003A7286"/>
    <w:rsid w:val="003B0490"/>
    <w:rsid w:val="003B18F2"/>
    <w:rsid w:val="003B3449"/>
    <w:rsid w:val="003B55F0"/>
    <w:rsid w:val="003C405B"/>
    <w:rsid w:val="003C55B9"/>
    <w:rsid w:val="003C5F27"/>
    <w:rsid w:val="003C646D"/>
    <w:rsid w:val="003D0D8E"/>
    <w:rsid w:val="003E1786"/>
    <w:rsid w:val="003E22B3"/>
    <w:rsid w:val="003E4EF7"/>
    <w:rsid w:val="003E511F"/>
    <w:rsid w:val="003E5FE1"/>
    <w:rsid w:val="003E6362"/>
    <w:rsid w:val="003F1441"/>
    <w:rsid w:val="00400831"/>
    <w:rsid w:val="00401187"/>
    <w:rsid w:val="00401CCC"/>
    <w:rsid w:val="00402EFB"/>
    <w:rsid w:val="00403D8D"/>
    <w:rsid w:val="00403E07"/>
    <w:rsid w:val="0041209E"/>
    <w:rsid w:val="0041450E"/>
    <w:rsid w:val="004234A7"/>
    <w:rsid w:val="004239EF"/>
    <w:rsid w:val="00423A77"/>
    <w:rsid w:val="00424226"/>
    <w:rsid w:val="00430C73"/>
    <w:rsid w:val="0043202D"/>
    <w:rsid w:val="0043412B"/>
    <w:rsid w:val="004344A6"/>
    <w:rsid w:val="0043624D"/>
    <w:rsid w:val="004376DA"/>
    <w:rsid w:val="00444D21"/>
    <w:rsid w:val="00445710"/>
    <w:rsid w:val="00451293"/>
    <w:rsid w:val="004516FE"/>
    <w:rsid w:val="00451CF7"/>
    <w:rsid w:val="00452D40"/>
    <w:rsid w:val="00461314"/>
    <w:rsid w:val="0046495F"/>
    <w:rsid w:val="00464B43"/>
    <w:rsid w:val="0047002B"/>
    <w:rsid w:val="004708CB"/>
    <w:rsid w:val="00470DDF"/>
    <w:rsid w:val="00475919"/>
    <w:rsid w:val="00477B7B"/>
    <w:rsid w:val="0048148C"/>
    <w:rsid w:val="00484DBE"/>
    <w:rsid w:val="00484DDC"/>
    <w:rsid w:val="00491FCC"/>
    <w:rsid w:val="0049232C"/>
    <w:rsid w:val="004A13D3"/>
    <w:rsid w:val="004A314B"/>
    <w:rsid w:val="004A34A8"/>
    <w:rsid w:val="004A7581"/>
    <w:rsid w:val="004A7AF2"/>
    <w:rsid w:val="004B2304"/>
    <w:rsid w:val="004B314D"/>
    <w:rsid w:val="004B31C2"/>
    <w:rsid w:val="004B386F"/>
    <w:rsid w:val="004B7136"/>
    <w:rsid w:val="004C2332"/>
    <w:rsid w:val="004C31EC"/>
    <w:rsid w:val="004C4837"/>
    <w:rsid w:val="004C7ECB"/>
    <w:rsid w:val="004D151E"/>
    <w:rsid w:val="004D53CC"/>
    <w:rsid w:val="004E01DB"/>
    <w:rsid w:val="004E44E2"/>
    <w:rsid w:val="004F03B4"/>
    <w:rsid w:val="004F27EA"/>
    <w:rsid w:val="004F2E8F"/>
    <w:rsid w:val="004F562F"/>
    <w:rsid w:val="005004AC"/>
    <w:rsid w:val="0050081C"/>
    <w:rsid w:val="00501116"/>
    <w:rsid w:val="0050299A"/>
    <w:rsid w:val="00504035"/>
    <w:rsid w:val="00504E67"/>
    <w:rsid w:val="00505C3E"/>
    <w:rsid w:val="00507063"/>
    <w:rsid w:val="00510805"/>
    <w:rsid w:val="00511B4D"/>
    <w:rsid w:val="00513183"/>
    <w:rsid w:val="00513F7C"/>
    <w:rsid w:val="00514801"/>
    <w:rsid w:val="005153EC"/>
    <w:rsid w:val="005252D6"/>
    <w:rsid w:val="00530E34"/>
    <w:rsid w:val="00535CB1"/>
    <w:rsid w:val="00537BF5"/>
    <w:rsid w:val="00543F9F"/>
    <w:rsid w:val="0054739E"/>
    <w:rsid w:val="00550097"/>
    <w:rsid w:val="005563B9"/>
    <w:rsid w:val="00557F6C"/>
    <w:rsid w:val="005635E1"/>
    <w:rsid w:val="005646DA"/>
    <w:rsid w:val="00572595"/>
    <w:rsid w:val="00575C48"/>
    <w:rsid w:val="005805BC"/>
    <w:rsid w:val="00585818"/>
    <w:rsid w:val="00586294"/>
    <w:rsid w:val="00594DF6"/>
    <w:rsid w:val="005956F7"/>
    <w:rsid w:val="00596E6C"/>
    <w:rsid w:val="005A12AF"/>
    <w:rsid w:val="005A182D"/>
    <w:rsid w:val="005B37C4"/>
    <w:rsid w:val="005B6BCF"/>
    <w:rsid w:val="005B6DCE"/>
    <w:rsid w:val="005C0EA6"/>
    <w:rsid w:val="005C19C2"/>
    <w:rsid w:val="005C501A"/>
    <w:rsid w:val="005D07A5"/>
    <w:rsid w:val="005D293D"/>
    <w:rsid w:val="005D383B"/>
    <w:rsid w:val="005E012F"/>
    <w:rsid w:val="005E413F"/>
    <w:rsid w:val="005E592F"/>
    <w:rsid w:val="005E5974"/>
    <w:rsid w:val="005E5B33"/>
    <w:rsid w:val="005F04B7"/>
    <w:rsid w:val="005F135B"/>
    <w:rsid w:val="005F24E0"/>
    <w:rsid w:val="005F2EC7"/>
    <w:rsid w:val="005F3700"/>
    <w:rsid w:val="005F4B15"/>
    <w:rsid w:val="005F5302"/>
    <w:rsid w:val="0060303E"/>
    <w:rsid w:val="00607A29"/>
    <w:rsid w:val="00607F90"/>
    <w:rsid w:val="006114B7"/>
    <w:rsid w:val="0061363C"/>
    <w:rsid w:val="00616FF6"/>
    <w:rsid w:val="006221DF"/>
    <w:rsid w:val="0062294C"/>
    <w:rsid w:val="006313E5"/>
    <w:rsid w:val="00631B1E"/>
    <w:rsid w:val="0063431A"/>
    <w:rsid w:val="0063505E"/>
    <w:rsid w:val="006379F6"/>
    <w:rsid w:val="00644691"/>
    <w:rsid w:val="006526DD"/>
    <w:rsid w:val="006553EA"/>
    <w:rsid w:val="006555C7"/>
    <w:rsid w:val="00655D1C"/>
    <w:rsid w:val="00660475"/>
    <w:rsid w:val="006610BB"/>
    <w:rsid w:val="006612E7"/>
    <w:rsid w:val="00667E90"/>
    <w:rsid w:val="0067194A"/>
    <w:rsid w:val="00672881"/>
    <w:rsid w:val="006746CA"/>
    <w:rsid w:val="00675E08"/>
    <w:rsid w:val="00680AA8"/>
    <w:rsid w:val="00681D59"/>
    <w:rsid w:val="00683EEF"/>
    <w:rsid w:val="00684AE3"/>
    <w:rsid w:val="00693B43"/>
    <w:rsid w:val="00695B73"/>
    <w:rsid w:val="006A3111"/>
    <w:rsid w:val="006A34BF"/>
    <w:rsid w:val="006A70E2"/>
    <w:rsid w:val="006B0CBD"/>
    <w:rsid w:val="006B47A3"/>
    <w:rsid w:val="006B6E8F"/>
    <w:rsid w:val="006B784E"/>
    <w:rsid w:val="006C26AF"/>
    <w:rsid w:val="006C373A"/>
    <w:rsid w:val="006C3916"/>
    <w:rsid w:val="006C48B6"/>
    <w:rsid w:val="006C500A"/>
    <w:rsid w:val="006C5F1D"/>
    <w:rsid w:val="006D0588"/>
    <w:rsid w:val="006D1003"/>
    <w:rsid w:val="006D34B2"/>
    <w:rsid w:val="006D4F52"/>
    <w:rsid w:val="006D6B03"/>
    <w:rsid w:val="006D7296"/>
    <w:rsid w:val="006D7EAC"/>
    <w:rsid w:val="006E03CF"/>
    <w:rsid w:val="006E5E79"/>
    <w:rsid w:val="006E61C0"/>
    <w:rsid w:val="00707694"/>
    <w:rsid w:val="00715E71"/>
    <w:rsid w:val="00715FAB"/>
    <w:rsid w:val="007160D5"/>
    <w:rsid w:val="0072109A"/>
    <w:rsid w:val="00723FA9"/>
    <w:rsid w:val="0072620F"/>
    <w:rsid w:val="007332C8"/>
    <w:rsid w:val="007356C0"/>
    <w:rsid w:val="007362D7"/>
    <w:rsid w:val="00742E9D"/>
    <w:rsid w:val="0074355C"/>
    <w:rsid w:val="00743F05"/>
    <w:rsid w:val="00746F49"/>
    <w:rsid w:val="00751DC7"/>
    <w:rsid w:val="007546F5"/>
    <w:rsid w:val="007612CB"/>
    <w:rsid w:val="00761B73"/>
    <w:rsid w:val="007620A3"/>
    <w:rsid w:val="007656C8"/>
    <w:rsid w:val="00767B37"/>
    <w:rsid w:val="00767E93"/>
    <w:rsid w:val="00774378"/>
    <w:rsid w:val="0077758E"/>
    <w:rsid w:val="00777E5A"/>
    <w:rsid w:val="00777F68"/>
    <w:rsid w:val="00785355"/>
    <w:rsid w:val="00795722"/>
    <w:rsid w:val="007A6D66"/>
    <w:rsid w:val="007B1277"/>
    <w:rsid w:val="007B21BF"/>
    <w:rsid w:val="007B2262"/>
    <w:rsid w:val="007C123E"/>
    <w:rsid w:val="007C236C"/>
    <w:rsid w:val="007C363F"/>
    <w:rsid w:val="007C6299"/>
    <w:rsid w:val="007D04B3"/>
    <w:rsid w:val="007D0548"/>
    <w:rsid w:val="007D3D85"/>
    <w:rsid w:val="007E0724"/>
    <w:rsid w:val="007E242F"/>
    <w:rsid w:val="007E386F"/>
    <w:rsid w:val="007E4DBF"/>
    <w:rsid w:val="007E6C4B"/>
    <w:rsid w:val="007F3C3E"/>
    <w:rsid w:val="00802DF6"/>
    <w:rsid w:val="008060C0"/>
    <w:rsid w:val="00810E5B"/>
    <w:rsid w:val="008128CC"/>
    <w:rsid w:val="00814AE9"/>
    <w:rsid w:val="00815B69"/>
    <w:rsid w:val="00817947"/>
    <w:rsid w:val="00817C73"/>
    <w:rsid w:val="008225F1"/>
    <w:rsid w:val="008276D3"/>
    <w:rsid w:val="00836F9A"/>
    <w:rsid w:val="008409CE"/>
    <w:rsid w:val="00840A93"/>
    <w:rsid w:val="00840BD7"/>
    <w:rsid w:val="00841527"/>
    <w:rsid w:val="00843747"/>
    <w:rsid w:val="00845E6A"/>
    <w:rsid w:val="00846188"/>
    <w:rsid w:val="00846D4C"/>
    <w:rsid w:val="008474E1"/>
    <w:rsid w:val="00851D33"/>
    <w:rsid w:val="008566A2"/>
    <w:rsid w:val="00857AC4"/>
    <w:rsid w:val="00860AB8"/>
    <w:rsid w:val="008638B9"/>
    <w:rsid w:val="00872C67"/>
    <w:rsid w:val="0087664F"/>
    <w:rsid w:val="00876DEC"/>
    <w:rsid w:val="008823E6"/>
    <w:rsid w:val="008826DC"/>
    <w:rsid w:val="00887C3B"/>
    <w:rsid w:val="00891BD5"/>
    <w:rsid w:val="00894591"/>
    <w:rsid w:val="008945CE"/>
    <w:rsid w:val="00896E98"/>
    <w:rsid w:val="00897743"/>
    <w:rsid w:val="008A006C"/>
    <w:rsid w:val="008A59FE"/>
    <w:rsid w:val="008B41B0"/>
    <w:rsid w:val="008B7E18"/>
    <w:rsid w:val="008C08DD"/>
    <w:rsid w:val="008C3298"/>
    <w:rsid w:val="008C768F"/>
    <w:rsid w:val="008D02D5"/>
    <w:rsid w:val="008D127C"/>
    <w:rsid w:val="008D1427"/>
    <w:rsid w:val="008D1CAB"/>
    <w:rsid w:val="008E2452"/>
    <w:rsid w:val="008E5C8C"/>
    <w:rsid w:val="008E6C74"/>
    <w:rsid w:val="008E7077"/>
    <w:rsid w:val="008F188D"/>
    <w:rsid w:val="008F6294"/>
    <w:rsid w:val="00900941"/>
    <w:rsid w:val="009059B7"/>
    <w:rsid w:val="00905FC6"/>
    <w:rsid w:val="00906CBE"/>
    <w:rsid w:val="0091061A"/>
    <w:rsid w:val="009128C2"/>
    <w:rsid w:val="00912C1E"/>
    <w:rsid w:val="00930CD8"/>
    <w:rsid w:val="00934A57"/>
    <w:rsid w:val="009367DC"/>
    <w:rsid w:val="00937FF1"/>
    <w:rsid w:val="0094022A"/>
    <w:rsid w:val="00942BD5"/>
    <w:rsid w:val="009433A1"/>
    <w:rsid w:val="0094463D"/>
    <w:rsid w:val="00945C53"/>
    <w:rsid w:val="00950AAF"/>
    <w:rsid w:val="00953C95"/>
    <w:rsid w:val="009546D0"/>
    <w:rsid w:val="00956B9A"/>
    <w:rsid w:val="00957AA4"/>
    <w:rsid w:val="009608A7"/>
    <w:rsid w:val="00960CCC"/>
    <w:rsid w:val="00960EAA"/>
    <w:rsid w:val="0096232B"/>
    <w:rsid w:val="0096593A"/>
    <w:rsid w:val="00972C8F"/>
    <w:rsid w:val="00975568"/>
    <w:rsid w:val="00990097"/>
    <w:rsid w:val="0099227D"/>
    <w:rsid w:val="009939B0"/>
    <w:rsid w:val="00993F59"/>
    <w:rsid w:val="009A4198"/>
    <w:rsid w:val="009A673B"/>
    <w:rsid w:val="009B25D3"/>
    <w:rsid w:val="009B2604"/>
    <w:rsid w:val="009B4CA1"/>
    <w:rsid w:val="009C67AF"/>
    <w:rsid w:val="009D3988"/>
    <w:rsid w:val="009E2726"/>
    <w:rsid w:val="009E3142"/>
    <w:rsid w:val="009E345B"/>
    <w:rsid w:val="009E3634"/>
    <w:rsid w:val="009E3F22"/>
    <w:rsid w:val="009E59CD"/>
    <w:rsid w:val="009E76B5"/>
    <w:rsid w:val="009F3A19"/>
    <w:rsid w:val="009F3FBB"/>
    <w:rsid w:val="009F4136"/>
    <w:rsid w:val="009F58DC"/>
    <w:rsid w:val="00A000D7"/>
    <w:rsid w:val="00A0075C"/>
    <w:rsid w:val="00A02DF9"/>
    <w:rsid w:val="00A07C12"/>
    <w:rsid w:val="00A1035B"/>
    <w:rsid w:val="00A10AA2"/>
    <w:rsid w:val="00A11E0B"/>
    <w:rsid w:val="00A2259A"/>
    <w:rsid w:val="00A233A4"/>
    <w:rsid w:val="00A23821"/>
    <w:rsid w:val="00A26A09"/>
    <w:rsid w:val="00A27676"/>
    <w:rsid w:val="00A312BC"/>
    <w:rsid w:val="00A32487"/>
    <w:rsid w:val="00A3592B"/>
    <w:rsid w:val="00A366DA"/>
    <w:rsid w:val="00A36FD1"/>
    <w:rsid w:val="00A37006"/>
    <w:rsid w:val="00A4253E"/>
    <w:rsid w:val="00A42CC0"/>
    <w:rsid w:val="00A42E02"/>
    <w:rsid w:val="00A441C1"/>
    <w:rsid w:val="00A44A40"/>
    <w:rsid w:val="00A450A1"/>
    <w:rsid w:val="00A4512F"/>
    <w:rsid w:val="00A538D8"/>
    <w:rsid w:val="00A54C69"/>
    <w:rsid w:val="00A66B0C"/>
    <w:rsid w:val="00A70A5E"/>
    <w:rsid w:val="00A736BA"/>
    <w:rsid w:val="00A75B21"/>
    <w:rsid w:val="00A853BA"/>
    <w:rsid w:val="00A85F29"/>
    <w:rsid w:val="00A877CB"/>
    <w:rsid w:val="00A934A4"/>
    <w:rsid w:val="00A94DD9"/>
    <w:rsid w:val="00AA0EE6"/>
    <w:rsid w:val="00AA380E"/>
    <w:rsid w:val="00AA535E"/>
    <w:rsid w:val="00AB094B"/>
    <w:rsid w:val="00AB0F8D"/>
    <w:rsid w:val="00AB63E2"/>
    <w:rsid w:val="00AC20D4"/>
    <w:rsid w:val="00AC280B"/>
    <w:rsid w:val="00AC36FD"/>
    <w:rsid w:val="00AC3CB2"/>
    <w:rsid w:val="00AC69AC"/>
    <w:rsid w:val="00AC6D62"/>
    <w:rsid w:val="00AC7FB4"/>
    <w:rsid w:val="00AD4972"/>
    <w:rsid w:val="00AD756F"/>
    <w:rsid w:val="00AD76C9"/>
    <w:rsid w:val="00AD7A77"/>
    <w:rsid w:val="00AE1F7F"/>
    <w:rsid w:val="00AE5D8A"/>
    <w:rsid w:val="00AF515E"/>
    <w:rsid w:val="00AF7896"/>
    <w:rsid w:val="00B050BE"/>
    <w:rsid w:val="00B0542B"/>
    <w:rsid w:val="00B05938"/>
    <w:rsid w:val="00B06C8A"/>
    <w:rsid w:val="00B10D74"/>
    <w:rsid w:val="00B13848"/>
    <w:rsid w:val="00B1597D"/>
    <w:rsid w:val="00B21A6E"/>
    <w:rsid w:val="00B21A9F"/>
    <w:rsid w:val="00B25C20"/>
    <w:rsid w:val="00B26219"/>
    <w:rsid w:val="00B31E5D"/>
    <w:rsid w:val="00B3616B"/>
    <w:rsid w:val="00B37D0D"/>
    <w:rsid w:val="00B406C2"/>
    <w:rsid w:val="00B4211E"/>
    <w:rsid w:val="00B46234"/>
    <w:rsid w:val="00B507D6"/>
    <w:rsid w:val="00B5541B"/>
    <w:rsid w:val="00B57185"/>
    <w:rsid w:val="00B615D4"/>
    <w:rsid w:val="00B63003"/>
    <w:rsid w:val="00B65540"/>
    <w:rsid w:val="00B6671B"/>
    <w:rsid w:val="00B67224"/>
    <w:rsid w:val="00B67BBC"/>
    <w:rsid w:val="00B7089E"/>
    <w:rsid w:val="00B72690"/>
    <w:rsid w:val="00B735A5"/>
    <w:rsid w:val="00B77164"/>
    <w:rsid w:val="00B77822"/>
    <w:rsid w:val="00B82018"/>
    <w:rsid w:val="00B92FE3"/>
    <w:rsid w:val="00B934A8"/>
    <w:rsid w:val="00B94FE8"/>
    <w:rsid w:val="00BA3011"/>
    <w:rsid w:val="00BA6B50"/>
    <w:rsid w:val="00BB0D9D"/>
    <w:rsid w:val="00BB465A"/>
    <w:rsid w:val="00BC24B3"/>
    <w:rsid w:val="00BC4F27"/>
    <w:rsid w:val="00BC7B70"/>
    <w:rsid w:val="00BD3EB7"/>
    <w:rsid w:val="00BD5390"/>
    <w:rsid w:val="00BD59D2"/>
    <w:rsid w:val="00BD5B9E"/>
    <w:rsid w:val="00BE0231"/>
    <w:rsid w:val="00BE2F67"/>
    <w:rsid w:val="00BE3F08"/>
    <w:rsid w:val="00BE45E1"/>
    <w:rsid w:val="00BE57FF"/>
    <w:rsid w:val="00BE5E06"/>
    <w:rsid w:val="00BF1122"/>
    <w:rsid w:val="00BF5855"/>
    <w:rsid w:val="00BF679F"/>
    <w:rsid w:val="00BF6A6A"/>
    <w:rsid w:val="00BF77E6"/>
    <w:rsid w:val="00C02C57"/>
    <w:rsid w:val="00C119A1"/>
    <w:rsid w:val="00C131D0"/>
    <w:rsid w:val="00C1345C"/>
    <w:rsid w:val="00C171AD"/>
    <w:rsid w:val="00C17CF3"/>
    <w:rsid w:val="00C2017E"/>
    <w:rsid w:val="00C20D26"/>
    <w:rsid w:val="00C22BD2"/>
    <w:rsid w:val="00C274D1"/>
    <w:rsid w:val="00C40EE7"/>
    <w:rsid w:val="00C41ED6"/>
    <w:rsid w:val="00C42DC8"/>
    <w:rsid w:val="00C42E53"/>
    <w:rsid w:val="00C466F1"/>
    <w:rsid w:val="00C4784D"/>
    <w:rsid w:val="00C520A2"/>
    <w:rsid w:val="00C52CB0"/>
    <w:rsid w:val="00C56501"/>
    <w:rsid w:val="00C625AF"/>
    <w:rsid w:val="00C634DC"/>
    <w:rsid w:val="00C64116"/>
    <w:rsid w:val="00C6445E"/>
    <w:rsid w:val="00C67527"/>
    <w:rsid w:val="00C71E8E"/>
    <w:rsid w:val="00C73EB1"/>
    <w:rsid w:val="00C746E6"/>
    <w:rsid w:val="00C74DCA"/>
    <w:rsid w:val="00C80687"/>
    <w:rsid w:val="00C87895"/>
    <w:rsid w:val="00C93834"/>
    <w:rsid w:val="00C943F5"/>
    <w:rsid w:val="00C957F4"/>
    <w:rsid w:val="00C96669"/>
    <w:rsid w:val="00C96E5B"/>
    <w:rsid w:val="00C979C3"/>
    <w:rsid w:val="00CA508D"/>
    <w:rsid w:val="00CA7220"/>
    <w:rsid w:val="00CA780D"/>
    <w:rsid w:val="00CB4A64"/>
    <w:rsid w:val="00CB76BB"/>
    <w:rsid w:val="00CD166C"/>
    <w:rsid w:val="00CD40E9"/>
    <w:rsid w:val="00CD4DA3"/>
    <w:rsid w:val="00CD51AB"/>
    <w:rsid w:val="00CD6403"/>
    <w:rsid w:val="00CE12DC"/>
    <w:rsid w:val="00CE2170"/>
    <w:rsid w:val="00CE43FF"/>
    <w:rsid w:val="00CE5CE8"/>
    <w:rsid w:val="00CF1C96"/>
    <w:rsid w:val="00CF2183"/>
    <w:rsid w:val="00CF264E"/>
    <w:rsid w:val="00CF2D1D"/>
    <w:rsid w:val="00CF76B7"/>
    <w:rsid w:val="00D01B29"/>
    <w:rsid w:val="00D01DBF"/>
    <w:rsid w:val="00D0473C"/>
    <w:rsid w:val="00D04974"/>
    <w:rsid w:val="00D15883"/>
    <w:rsid w:val="00D27CBA"/>
    <w:rsid w:val="00D3245A"/>
    <w:rsid w:val="00D33F5A"/>
    <w:rsid w:val="00D412D4"/>
    <w:rsid w:val="00D46A41"/>
    <w:rsid w:val="00D51119"/>
    <w:rsid w:val="00D51583"/>
    <w:rsid w:val="00D51929"/>
    <w:rsid w:val="00D54DB5"/>
    <w:rsid w:val="00D5648F"/>
    <w:rsid w:val="00D567C2"/>
    <w:rsid w:val="00D56DB2"/>
    <w:rsid w:val="00D57015"/>
    <w:rsid w:val="00D771A7"/>
    <w:rsid w:val="00D85FCA"/>
    <w:rsid w:val="00D917CC"/>
    <w:rsid w:val="00D973D8"/>
    <w:rsid w:val="00D97665"/>
    <w:rsid w:val="00DA0F7D"/>
    <w:rsid w:val="00DA3A23"/>
    <w:rsid w:val="00DA4025"/>
    <w:rsid w:val="00DA4644"/>
    <w:rsid w:val="00DB4F15"/>
    <w:rsid w:val="00DB7303"/>
    <w:rsid w:val="00DC1892"/>
    <w:rsid w:val="00DC300F"/>
    <w:rsid w:val="00DD4AE3"/>
    <w:rsid w:val="00DE17CF"/>
    <w:rsid w:val="00DE25D8"/>
    <w:rsid w:val="00DE5BA4"/>
    <w:rsid w:val="00DF04C0"/>
    <w:rsid w:val="00DF2018"/>
    <w:rsid w:val="00DF2572"/>
    <w:rsid w:val="00DF33C0"/>
    <w:rsid w:val="00DF45CE"/>
    <w:rsid w:val="00E00D06"/>
    <w:rsid w:val="00E017D6"/>
    <w:rsid w:val="00E04201"/>
    <w:rsid w:val="00E10ADD"/>
    <w:rsid w:val="00E10FC9"/>
    <w:rsid w:val="00E12276"/>
    <w:rsid w:val="00E142C7"/>
    <w:rsid w:val="00E158ED"/>
    <w:rsid w:val="00E16F1A"/>
    <w:rsid w:val="00E21E72"/>
    <w:rsid w:val="00E2781C"/>
    <w:rsid w:val="00E279DF"/>
    <w:rsid w:val="00E27FE2"/>
    <w:rsid w:val="00E31825"/>
    <w:rsid w:val="00E339B7"/>
    <w:rsid w:val="00E356CF"/>
    <w:rsid w:val="00E42322"/>
    <w:rsid w:val="00E426B2"/>
    <w:rsid w:val="00E442DC"/>
    <w:rsid w:val="00E45540"/>
    <w:rsid w:val="00E53E79"/>
    <w:rsid w:val="00E53F38"/>
    <w:rsid w:val="00E5642A"/>
    <w:rsid w:val="00E57486"/>
    <w:rsid w:val="00E57F53"/>
    <w:rsid w:val="00E642CF"/>
    <w:rsid w:val="00E67ADC"/>
    <w:rsid w:val="00E7102B"/>
    <w:rsid w:val="00E71BE7"/>
    <w:rsid w:val="00E743F4"/>
    <w:rsid w:val="00E74E32"/>
    <w:rsid w:val="00E76682"/>
    <w:rsid w:val="00E77AD0"/>
    <w:rsid w:val="00E81D05"/>
    <w:rsid w:val="00E8794A"/>
    <w:rsid w:val="00E87E51"/>
    <w:rsid w:val="00E9216C"/>
    <w:rsid w:val="00E97EF4"/>
    <w:rsid w:val="00EA0E48"/>
    <w:rsid w:val="00EA23C3"/>
    <w:rsid w:val="00EA4496"/>
    <w:rsid w:val="00EA6D5C"/>
    <w:rsid w:val="00EB5685"/>
    <w:rsid w:val="00EB5FC0"/>
    <w:rsid w:val="00EC170C"/>
    <w:rsid w:val="00EC2091"/>
    <w:rsid w:val="00EC21FD"/>
    <w:rsid w:val="00EC44A5"/>
    <w:rsid w:val="00EC4F30"/>
    <w:rsid w:val="00EC61DD"/>
    <w:rsid w:val="00EC70DF"/>
    <w:rsid w:val="00ED26BA"/>
    <w:rsid w:val="00ED457A"/>
    <w:rsid w:val="00ED574D"/>
    <w:rsid w:val="00ED576D"/>
    <w:rsid w:val="00EE2E8D"/>
    <w:rsid w:val="00EE3AE2"/>
    <w:rsid w:val="00EE3B82"/>
    <w:rsid w:val="00EE45B0"/>
    <w:rsid w:val="00EE5D21"/>
    <w:rsid w:val="00EF0726"/>
    <w:rsid w:val="00EF15FB"/>
    <w:rsid w:val="00EF3A22"/>
    <w:rsid w:val="00EF74C5"/>
    <w:rsid w:val="00F0372E"/>
    <w:rsid w:val="00F1364C"/>
    <w:rsid w:val="00F14938"/>
    <w:rsid w:val="00F166B7"/>
    <w:rsid w:val="00F16D0F"/>
    <w:rsid w:val="00F2163B"/>
    <w:rsid w:val="00F217CD"/>
    <w:rsid w:val="00F31F9D"/>
    <w:rsid w:val="00F351F6"/>
    <w:rsid w:val="00F36549"/>
    <w:rsid w:val="00F401F4"/>
    <w:rsid w:val="00F41192"/>
    <w:rsid w:val="00F56D1C"/>
    <w:rsid w:val="00F6257C"/>
    <w:rsid w:val="00F628B3"/>
    <w:rsid w:val="00F64025"/>
    <w:rsid w:val="00F65F9C"/>
    <w:rsid w:val="00F67283"/>
    <w:rsid w:val="00F67567"/>
    <w:rsid w:val="00F74BBC"/>
    <w:rsid w:val="00F765BC"/>
    <w:rsid w:val="00F77949"/>
    <w:rsid w:val="00F81171"/>
    <w:rsid w:val="00F83E3B"/>
    <w:rsid w:val="00F846B2"/>
    <w:rsid w:val="00F86497"/>
    <w:rsid w:val="00F8674F"/>
    <w:rsid w:val="00F900F5"/>
    <w:rsid w:val="00F93A3A"/>
    <w:rsid w:val="00F95929"/>
    <w:rsid w:val="00FA3928"/>
    <w:rsid w:val="00FA5DB1"/>
    <w:rsid w:val="00FB1540"/>
    <w:rsid w:val="00FB2EAA"/>
    <w:rsid w:val="00FB6FFA"/>
    <w:rsid w:val="00FC4858"/>
    <w:rsid w:val="00FC5707"/>
    <w:rsid w:val="00FC5B21"/>
    <w:rsid w:val="00FC611D"/>
    <w:rsid w:val="00FC7CAD"/>
    <w:rsid w:val="00FD0D0A"/>
    <w:rsid w:val="00FD27A4"/>
    <w:rsid w:val="00FD68B6"/>
    <w:rsid w:val="00FD6D31"/>
    <w:rsid w:val="00FE2376"/>
    <w:rsid w:val="00FE289A"/>
    <w:rsid w:val="00FE7570"/>
    <w:rsid w:val="00FF7A15"/>
    <w:rsid w:val="01C4E4E7"/>
    <w:rsid w:val="02134B97"/>
    <w:rsid w:val="028854DD"/>
    <w:rsid w:val="0364A02F"/>
    <w:rsid w:val="0413D703"/>
    <w:rsid w:val="05217811"/>
    <w:rsid w:val="05CAC14C"/>
    <w:rsid w:val="06E15FE3"/>
    <w:rsid w:val="0748A107"/>
    <w:rsid w:val="078B71DE"/>
    <w:rsid w:val="081E67B6"/>
    <w:rsid w:val="0894F655"/>
    <w:rsid w:val="0BCE28C7"/>
    <w:rsid w:val="0BD453F2"/>
    <w:rsid w:val="0C07EE3F"/>
    <w:rsid w:val="0CE6AA4D"/>
    <w:rsid w:val="0D959C45"/>
    <w:rsid w:val="100FD423"/>
    <w:rsid w:val="1017B739"/>
    <w:rsid w:val="1098C7AD"/>
    <w:rsid w:val="10D2BF7B"/>
    <w:rsid w:val="11C811DA"/>
    <w:rsid w:val="12535FF9"/>
    <w:rsid w:val="1297A5EE"/>
    <w:rsid w:val="13A36CE4"/>
    <w:rsid w:val="17471E7A"/>
    <w:rsid w:val="179D38F5"/>
    <w:rsid w:val="18C218AC"/>
    <w:rsid w:val="19ABC0EA"/>
    <w:rsid w:val="1D25ED7B"/>
    <w:rsid w:val="1E540D2C"/>
    <w:rsid w:val="1EB357EC"/>
    <w:rsid w:val="1FBFC59E"/>
    <w:rsid w:val="200207BE"/>
    <w:rsid w:val="20730D27"/>
    <w:rsid w:val="20EEF79D"/>
    <w:rsid w:val="2135EDDB"/>
    <w:rsid w:val="214DAAB8"/>
    <w:rsid w:val="21861A0C"/>
    <w:rsid w:val="2223078E"/>
    <w:rsid w:val="22C0E93C"/>
    <w:rsid w:val="22F5B739"/>
    <w:rsid w:val="2320775D"/>
    <w:rsid w:val="243D6B77"/>
    <w:rsid w:val="244B9A64"/>
    <w:rsid w:val="24939A42"/>
    <w:rsid w:val="24F9663E"/>
    <w:rsid w:val="26626689"/>
    <w:rsid w:val="28117B36"/>
    <w:rsid w:val="28427600"/>
    <w:rsid w:val="2A31D746"/>
    <w:rsid w:val="2BCE5FA6"/>
    <w:rsid w:val="2D94754A"/>
    <w:rsid w:val="2DBCD134"/>
    <w:rsid w:val="2F655B5D"/>
    <w:rsid w:val="30A79940"/>
    <w:rsid w:val="32D647C5"/>
    <w:rsid w:val="333D709D"/>
    <w:rsid w:val="340E6578"/>
    <w:rsid w:val="3751F2B3"/>
    <w:rsid w:val="380E1117"/>
    <w:rsid w:val="3956532F"/>
    <w:rsid w:val="3B7972B4"/>
    <w:rsid w:val="3BE8D110"/>
    <w:rsid w:val="3C6E4216"/>
    <w:rsid w:val="3CBA2C80"/>
    <w:rsid w:val="3D5CAD60"/>
    <w:rsid w:val="3D75C92A"/>
    <w:rsid w:val="3E56D8BA"/>
    <w:rsid w:val="3ECB9918"/>
    <w:rsid w:val="40CB60A0"/>
    <w:rsid w:val="40DCB606"/>
    <w:rsid w:val="41311111"/>
    <w:rsid w:val="42349B31"/>
    <w:rsid w:val="427E6845"/>
    <w:rsid w:val="4460295E"/>
    <w:rsid w:val="446FE02D"/>
    <w:rsid w:val="44B07B45"/>
    <w:rsid w:val="451F529A"/>
    <w:rsid w:val="4599CD3D"/>
    <w:rsid w:val="481C07E1"/>
    <w:rsid w:val="4A2D3CA4"/>
    <w:rsid w:val="4A43B5A6"/>
    <w:rsid w:val="4EA7A001"/>
    <w:rsid w:val="4F8D4F70"/>
    <w:rsid w:val="50958FFD"/>
    <w:rsid w:val="50C1FED4"/>
    <w:rsid w:val="50E6E1D4"/>
    <w:rsid w:val="513EF972"/>
    <w:rsid w:val="52082C12"/>
    <w:rsid w:val="5247BB0C"/>
    <w:rsid w:val="5474C1E2"/>
    <w:rsid w:val="55A3D7BC"/>
    <w:rsid w:val="55DA6A03"/>
    <w:rsid w:val="5656F150"/>
    <w:rsid w:val="5724210B"/>
    <w:rsid w:val="57664DA5"/>
    <w:rsid w:val="59A6E034"/>
    <w:rsid w:val="5A209791"/>
    <w:rsid w:val="5B72C0A2"/>
    <w:rsid w:val="5C14373B"/>
    <w:rsid w:val="5C223A0E"/>
    <w:rsid w:val="5E66DAD8"/>
    <w:rsid w:val="5EC44E56"/>
    <w:rsid w:val="5EF8E1E6"/>
    <w:rsid w:val="5F9A0FDD"/>
    <w:rsid w:val="6105BAFE"/>
    <w:rsid w:val="6155651B"/>
    <w:rsid w:val="61B60354"/>
    <w:rsid w:val="621F3A3E"/>
    <w:rsid w:val="63361035"/>
    <w:rsid w:val="64479A88"/>
    <w:rsid w:val="6567FB72"/>
    <w:rsid w:val="659BC5F7"/>
    <w:rsid w:val="66AD0F9A"/>
    <w:rsid w:val="672E8E47"/>
    <w:rsid w:val="685AF87C"/>
    <w:rsid w:val="6BC3D587"/>
    <w:rsid w:val="6C2CF614"/>
    <w:rsid w:val="6CD980E4"/>
    <w:rsid w:val="6CED23D0"/>
    <w:rsid w:val="6DC8B280"/>
    <w:rsid w:val="6EFBF5C1"/>
    <w:rsid w:val="6FBC5F77"/>
    <w:rsid w:val="716CD2E4"/>
    <w:rsid w:val="72625EA1"/>
    <w:rsid w:val="729675E1"/>
    <w:rsid w:val="7398E4FA"/>
    <w:rsid w:val="73BE34FB"/>
    <w:rsid w:val="743B0E43"/>
    <w:rsid w:val="743EF3C7"/>
    <w:rsid w:val="76E4AD7C"/>
    <w:rsid w:val="79FCB43C"/>
    <w:rsid w:val="7A047714"/>
    <w:rsid w:val="7A4AD341"/>
    <w:rsid w:val="7CFBED3A"/>
    <w:rsid w:val="7D26102E"/>
    <w:rsid w:val="7E9756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0945"/>
  <w15:chartTrackingRefBased/>
  <w15:docId w15:val="{73EBA719-785F-4F7C-B317-ED415642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5B"/>
    <w:pPr>
      <w:spacing w:line="259" w:lineRule="auto"/>
    </w:pPr>
    <w:rPr>
      <w:sz w:val="22"/>
      <w:szCs w:val="22"/>
    </w:rPr>
  </w:style>
  <w:style w:type="paragraph" w:styleId="Heading1">
    <w:name w:val="heading 1"/>
    <w:basedOn w:val="Normal"/>
    <w:next w:val="Normal"/>
    <w:link w:val="Heading1Char"/>
    <w:uiPriority w:val="9"/>
    <w:qFormat/>
    <w:rsid w:val="00253CE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CE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3CE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CE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53CE1"/>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53CE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53CE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53CE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53CE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3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CE1"/>
    <w:rPr>
      <w:rFonts w:eastAsiaTheme="majorEastAsia" w:cstheme="majorBidi"/>
      <w:color w:val="272727" w:themeColor="text1" w:themeTint="D8"/>
    </w:rPr>
  </w:style>
  <w:style w:type="paragraph" w:styleId="Title">
    <w:name w:val="Title"/>
    <w:basedOn w:val="Normal"/>
    <w:next w:val="Normal"/>
    <w:link w:val="TitleChar"/>
    <w:uiPriority w:val="10"/>
    <w:qFormat/>
    <w:rsid w:val="00253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CE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CE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53CE1"/>
    <w:rPr>
      <w:i/>
      <w:iCs/>
      <w:color w:val="404040" w:themeColor="text1" w:themeTint="BF"/>
    </w:rPr>
  </w:style>
  <w:style w:type="paragraph" w:styleId="ListParagraph">
    <w:name w:val="List Paragraph"/>
    <w:basedOn w:val="Normal"/>
    <w:uiPriority w:val="34"/>
    <w:qFormat/>
    <w:rsid w:val="00253CE1"/>
    <w:pPr>
      <w:spacing w:line="278" w:lineRule="auto"/>
      <w:ind w:left="720"/>
      <w:contextualSpacing/>
    </w:pPr>
    <w:rPr>
      <w:sz w:val="24"/>
      <w:szCs w:val="24"/>
    </w:rPr>
  </w:style>
  <w:style w:type="character" w:styleId="IntenseEmphasis">
    <w:name w:val="Intense Emphasis"/>
    <w:basedOn w:val="DefaultParagraphFont"/>
    <w:uiPriority w:val="21"/>
    <w:qFormat/>
    <w:rsid w:val="00253CE1"/>
    <w:rPr>
      <w:i/>
      <w:iCs/>
      <w:color w:val="0F4761" w:themeColor="accent1" w:themeShade="BF"/>
    </w:rPr>
  </w:style>
  <w:style w:type="paragraph" w:styleId="IntenseQuote">
    <w:name w:val="Intense Quote"/>
    <w:basedOn w:val="Normal"/>
    <w:next w:val="Normal"/>
    <w:link w:val="IntenseQuoteChar"/>
    <w:uiPriority w:val="30"/>
    <w:qFormat/>
    <w:rsid w:val="00253CE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253CE1"/>
    <w:rPr>
      <w:i/>
      <w:iCs/>
      <w:color w:val="0F4761" w:themeColor="accent1" w:themeShade="BF"/>
    </w:rPr>
  </w:style>
  <w:style w:type="character" w:styleId="IntenseReference">
    <w:name w:val="Intense Reference"/>
    <w:basedOn w:val="DefaultParagraphFont"/>
    <w:uiPriority w:val="32"/>
    <w:qFormat/>
    <w:rsid w:val="00253CE1"/>
    <w:rPr>
      <w:b/>
      <w:bCs/>
      <w:smallCaps/>
      <w:color w:val="0F4761" w:themeColor="accent1" w:themeShade="BF"/>
      <w:spacing w:val="5"/>
    </w:rPr>
  </w:style>
  <w:style w:type="paragraph" w:styleId="Header">
    <w:name w:val="header"/>
    <w:basedOn w:val="Normal"/>
    <w:link w:val="HeaderChar"/>
    <w:uiPriority w:val="99"/>
    <w:unhideWhenUsed/>
    <w:rsid w:val="000F03C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F03C1"/>
  </w:style>
  <w:style w:type="paragraph" w:styleId="Footer">
    <w:name w:val="footer"/>
    <w:basedOn w:val="Normal"/>
    <w:link w:val="FooterChar"/>
    <w:uiPriority w:val="99"/>
    <w:unhideWhenUsed/>
    <w:rsid w:val="000F03C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0F03C1"/>
  </w:style>
  <w:style w:type="paragraph" w:styleId="Revision">
    <w:name w:val="Revision"/>
    <w:hidden/>
    <w:uiPriority w:val="99"/>
    <w:semiHidden/>
    <w:rsid w:val="00FE289A"/>
    <w:pPr>
      <w:spacing w:after="0" w:line="240" w:lineRule="auto"/>
    </w:pPr>
    <w:rPr>
      <w:sz w:val="22"/>
      <w:szCs w:val="22"/>
    </w:rPr>
  </w:style>
  <w:style w:type="character" w:styleId="CommentReference">
    <w:name w:val="annotation reference"/>
    <w:basedOn w:val="DefaultParagraphFont"/>
    <w:uiPriority w:val="99"/>
    <w:semiHidden/>
    <w:unhideWhenUsed/>
    <w:rsid w:val="00684AE3"/>
    <w:rPr>
      <w:sz w:val="16"/>
      <w:szCs w:val="16"/>
    </w:rPr>
  </w:style>
  <w:style w:type="paragraph" w:styleId="CommentText">
    <w:name w:val="annotation text"/>
    <w:basedOn w:val="Normal"/>
    <w:link w:val="CommentTextChar"/>
    <w:uiPriority w:val="99"/>
    <w:unhideWhenUsed/>
    <w:rsid w:val="00684AE3"/>
    <w:pPr>
      <w:spacing w:line="240" w:lineRule="auto"/>
    </w:pPr>
    <w:rPr>
      <w:sz w:val="20"/>
      <w:szCs w:val="20"/>
    </w:rPr>
  </w:style>
  <w:style w:type="character" w:customStyle="1" w:styleId="CommentTextChar">
    <w:name w:val="Comment Text Char"/>
    <w:basedOn w:val="DefaultParagraphFont"/>
    <w:link w:val="CommentText"/>
    <w:uiPriority w:val="99"/>
    <w:rsid w:val="00684AE3"/>
    <w:rPr>
      <w:sz w:val="20"/>
      <w:szCs w:val="20"/>
    </w:rPr>
  </w:style>
  <w:style w:type="paragraph" w:styleId="CommentSubject">
    <w:name w:val="annotation subject"/>
    <w:basedOn w:val="CommentText"/>
    <w:next w:val="CommentText"/>
    <w:link w:val="CommentSubjectChar"/>
    <w:uiPriority w:val="99"/>
    <w:semiHidden/>
    <w:unhideWhenUsed/>
    <w:rsid w:val="00684AE3"/>
    <w:rPr>
      <w:b/>
      <w:bCs/>
    </w:rPr>
  </w:style>
  <w:style w:type="character" w:customStyle="1" w:styleId="CommentSubjectChar">
    <w:name w:val="Comment Subject Char"/>
    <w:basedOn w:val="CommentTextChar"/>
    <w:link w:val="CommentSubject"/>
    <w:uiPriority w:val="99"/>
    <w:semiHidden/>
    <w:rsid w:val="00684AE3"/>
    <w:rPr>
      <w:b/>
      <w:bCs/>
      <w:sz w:val="20"/>
      <w:szCs w:val="20"/>
    </w:rPr>
  </w:style>
  <w:style w:type="character" w:styleId="Mention">
    <w:name w:val="Mention"/>
    <w:basedOn w:val="DefaultParagraphFont"/>
    <w:uiPriority w:val="99"/>
    <w:unhideWhenUsed/>
    <w:rsid w:val="00684AE3"/>
    <w:rPr>
      <w:color w:val="2B579A"/>
      <w:shd w:val="clear" w:color="auto" w:fill="E1DFDD"/>
    </w:rPr>
  </w:style>
  <w:style w:type="paragraph" w:styleId="NormalWeb">
    <w:name w:val="Normal (Web)"/>
    <w:basedOn w:val="Normal"/>
    <w:uiPriority w:val="99"/>
    <w:semiHidden/>
    <w:unhideWhenUsed/>
    <w:rsid w:val="00660475"/>
    <w:rPr>
      <w:rFonts w:ascii="Times New Roman" w:hAnsi="Times New Roman" w:cs="Times New Roman"/>
      <w:sz w:val="24"/>
      <w:szCs w:val="24"/>
    </w:rPr>
  </w:style>
  <w:style w:type="character" w:styleId="Hyperlink">
    <w:name w:val="Hyperlink"/>
    <w:basedOn w:val="DefaultParagraphFont"/>
    <w:uiPriority w:val="99"/>
    <w:unhideWhenUsed/>
    <w:rsid w:val="00470DDF"/>
    <w:rPr>
      <w:color w:val="467886" w:themeColor="hyperlink"/>
      <w:u w:val="single"/>
    </w:rPr>
  </w:style>
  <w:style w:type="character" w:styleId="UnresolvedMention">
    <w:name w:val="Unresolved Mention"/>
    <w:basedOn w:val="DefaultParagraphFont"/>
    <w:uiPriority w:val="99"/>
    <w:semiHidden/>
    <w:unhideWhenUsed/>
    <w:rsid w:val="00470DDF"/>
    <w:rPr>
      <w:color w:val="605E5C"/>
      <w:shd w:val="clear" w:color="auto" w:fill="E1DFDD"/>
    </w:rPr>
  </w:style>
  <w:style w:type="character" w:styleId="FollowedHyperlink">
    <w:name w:val="FollowedHyperlink"/>
    <w:basedOn w:val="DefaultParagraphFont"/>
    <w:uiPriority w:val="99"/>
    <w:semiHidden/>
    <w:unhideWhenUsed/>
    <w:rsid w:val="001034C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4312">
      <w:bodyDiv w:val="1"/>
      <w:marLeft w:val="0"/>
      <w:marRight w:val="0"/>
      <w:marTop w:val="0"/>
      <w:marBottom w:val="0"/>
      <w:divBdr>
        <w:top w:val="none" w:sz="0" w:space="0" w:color="auto"/>
        <w:left w:val="none" w:sz="0" w:space="0" w:color="auto"/>
        <w:bottom w:val="none" w:sz="0" w:space="0" w:color="auto"/>
        <w:right w:val="none" w:sz="0" w:space="0" w:color="auto"/>
      </w:divBdr>
    </w:div>
    <w:div w:id="31196714">
      <w:bodyDiv w:val="1"/>
      <w:marLeft w:val="0"/>
      <w:marRight w:val="0"/>
      <w:marTop w:val="0"/>
      <w:marBottom w:val="0"/>
      <w:divBdr>
        <w:top w:val="none" w:sz="0" w:space="0" w:color="auto"/>
        <w:left w:val="none" w:sz="0" w:space="0" w:color="auto"/>
        <w:bottom w:val="none" w:sz="0" w:space="0" w:color="auto"/>
        <w:right w:val="none" w:sz="0" w:space="0" w:color="auto"/>
      </w:divBdr>
    </w:div>
    <w:div w:id="61682507">
      <w:bodyDiv w:val="1"/>
      <w:marLeft w:val="0"/>
      <w:marRight w:val="0"/>
      <w:marTop w:val="0"/>
      <w:marBottom w:val="0"/>
      <w:divBdr>
        <w:top w:val="none" w:sz="0" w:space="0" w:color="auto"/>
        <w:left w:val="none" w:sz="0" w:space="0" w:color="auto"/>
        <w:bottom w:val="none" w:sz="0" w:space="0" w:color="auto"/>
        <w:right w:val="none" w:sz="0" w:space="0" w:color="auto"/>
      </w:divBdr>
    </w:div>
    <w:div w:id="163207737">
      <w:bodyDiv w:val="1"/>
      <w:marLeft w:val="0"/>
      <w:marRight w:val="0"/>
      <w:marTop w:val="0"/>
      <w:marBottom w:val="0"/>
      <w:divBdr>
        <w:top w:val="none" w:sz="0" w:space="0" w:color="auto"/>
        <w:left w:val="none" w:sz="0" w:space="0" w:color="auto"/>
        <w:bottom w:val="none" w:sz="0" w:space="0" w:color="auto"/>
        <w:right w:val="none" w:sz="0" w:space="0" w:color="auto"/>
      </w:divBdr>
    </w:div>
    <w:div w:id="219292299">
      <w:bodyDiv w:val="1"/>
      <w:marLeft w:val="0"/>
      <w:marRight w:val="0"/>
      <w:marTop w:val="0"/>
      <w:marBottom w:val="0"/>
      <w:divBdr>
        <w:top w:val="none" w:sz="0" w:space="0" w:color="auto"/>
        <w:left w:val="none" w:sz="0" w:space="0" w:color="auto"/>
        <w:bottom w:val="none" w:sz="0" w:space="0" w:color="auto"/>
        <w:right w:val="none" w:sz="0" w:space="0" w:color="auto"/>
      </w:divBdr>
    </w:div>
    <w:div w:id="304429133">
      <w:bodyDiv w:val="1"/>
      <w:marLeft w:val="0"/>
      <w:marRight w:val="0"/>
      <w:marTop w:val="0"/>
      <w:marBottom w:val="0"/>
      <w:divBdr>
        <w:top w:val="none" w:sz="0" w:space="0" w:color="auto"/>
        <w:left w:val="none" w:sz="0" w:space="0" w:color="auto"/>
        <w:bottom w:val="none" w:sz="0" w:space="0" w:color="auto"/>
        <w:right w:val="none" w:sz="0" w:space="0" w:color="auto"/>
      </w:divBdr>
    </w:div>
    <w:div w:id="331838863">
      <w:bodyDiv w:val="1"/>
      <w:marLeft w:val="0"/>
      <w:marRight w:val="0"/>
      <w:marTop w:val="0"/>
      <w:marBottom w:val="0"/>
      <w:divBdr>
        <w:top w:val="none" w:sz="0" w:space="0" w:color="auto"/>
        <w:left w:val="none" w:sz="0" w:space="0" w:color="auto"/>
        <w:bottom w:val="none" w:sz="0" w:space="0" w:color="auto"/>
        <w:right w:val="none" w:sz="0" w:space="0" w:color="auto"/>
      </w:divBdr>
    </w:div>
    <w:div w:id="342784594">
      <w:bodyDiv w:val="1"/>
      <w:marLeft w:val="0"/>
      <w:marRight w:val="0"/>
      <w:marTop w:val="0"/>
      <w:marBottom w:val="0"/>
      <w:divBdr>
        <w:top w:val="none" w:sz="0" w:space="0" w:color="auto"/>
        <w:left w:val="none" w:sz="0" w:space="0" w:color="auto"/>
        <w:bottom w:val="none" w:sz="0" w:space="0" w:color="auto"/>
        <w:right w:val="none" w:sz="0" w:space="0" w:color="auto"/>
      </w:divBdr>
    </w:div>
    <w:div w:id="408576033">
      <w:bodyDiv w:val="1"/>
      <w:marLeft w:val="0"/>
      <w:marRight w:val="0"/>
      <w:marTop w:val="0"/>
      <w:marBottom w:val="0"/>
      <w:divBdr>
        <w:top w:val="none" w:sz="0" w:space="0" w:color="auto"/>
        <w:left w:val="none" w:sz="0" w:space="0" w:color="auto"/>
        <w:bottom w:val="none" w:sz="0" w:space="0" w:color="auto"/>
        <w:right w:val="none" w:sz="0" w:space="0" w:color="auto"/>
      </w:divBdr>
    </w:div>
    <w:div w:id="417215635">
      <w:bodyDiv w:val="1"/>
      <w:marLeft w:val="0"/>
      <w:marRight w:val="0"/>
      <w:marTop w:val="0"/>
      <w:marBottom w:val="0"/>
      <w:divBdr>
        <w:top w:val="none" w:sz="0" w:space="0" w:color="auto"/>
        <w:left w:val="none" w:sz="0" w:space="0" w:color="auto"/>
        <w:bottom w:val="none" w:sz="0" w:space="0" w:color="auto"/>
        <w:right w:val="none" w:sz="0" w:space="0" w:color="auto"/>
      </w:divBdr>
    </w:div>
    <w:div w:id="426077863">
      <w:bodyDiv w:val="1"/>
      <w:marLeft w:val="0"/>
      <w:marRight w:val="0"/>
      <w:marTop w:val="0"/>
      <w:marBottom w:val="0"/>
      <w:divBdr>
        <w:top w:val="none" w:sz="0" w:space="0" w:color="auto"/>
        <w:left w:val="none" w:sz="0" w:space="0" w:color="auto"/>
        <w:bottom w:val="none" w:sz="0" w:space="0" w:color="auto"/>
        <w:right w:val="none" w:sz="0" w:space="0" w:color="auto"/>
      </w:divBdr>
    </w:div>
    <w:div w:id="471681478">
      <w:bodyDiv w:val="1"/>
      <w:marLeft w:val="0"/>
      <w:marRight w:val="0"/>
      <w:marTop w:val="0"/>
      <w:marBottom w:val="0"/>
      <w:divBdr>
        <w:top w:val="none" w:sz="0" w:space="0" w:color="auto"/>
        <w:left w:val="none" w:sz="0" w:space="0" w:color="auto"/>
        <w:bottom w:val="none" w:sz="0" w:space="0" w:color="auto"/>
        <w:right w:val="none" w:sz="0" w:space="0" w:color="auto"/>
      </w:divBdr>
    </w:div>
    <w:div w:id="499976014">
      <w:bodyDiv w:val="1"/>
      <w:marLeft w:val="0"/>
      <w:marRight w:val="0"/>
      <w:marTop w:val="0"/>
      <w:marBottom w:val="0"/>
      <w:divBdr>
        <w:top w:val="none" w:sz="0" w:space="0" w:color="auto"/>
        <w:left w:val="none" w:sz="0" w:space="0" w:color="auto"/>
        <w:bottom w:val="none" w:sz="0" w:space="0" w:color="auto"/>
        <w:right w:val="none" w:sz="0" w:space="0" w:color="auto"/>
      </w:divBdr>
    </w:div>
    <w:div w:id="516847198">
      <w:bodyDiv w:val="1"/>
      <w:marLeft w:val="0"/>
      <w:marRight w:val="0"/>
      <w:marTop w:val="0"/>
      <w:marBottom w:val="0"/>
      <w:divBdr>
        <w:top w:val="none" w:sz="0" w:space="0" w:color="auto"/>
        <w:left w:val="none" w:sz="0" w:space="0" w:color="auto"/>
        <w:bottom w:val="none" w:sz="0" w:space="0" w:color="auto"/>
        <w:right w:val="none" w:sz="0" w:space="0" w:color="auto"/>
      </w:divBdr>
    </w:div>
    <w:div w:id="576983789">
      <w:bodyDiv w:val="1"/>
      <w:marLeft w:val="0"/>
      <w:marRight w:val="0"/>
      <w:marTop w:val="0"/>
      <w:marBottom w:val="0"/>
      <w:divBdr>
        <w:top w:val="none" w:sz="0" w:space="0" w:color="auto"/>
        <w:left w:val="none" w:sz="0" w:space="0" w:color="auto"/>
        <w:bottom w:val="none" w:sz="0" w:space="0" w:color="auto"/>
        <w:right w:val="none" w:sz="0" w:space="0" w:color="auto"/>
      </w:divBdr>
    </w:div>
    <w:div w:id="608586227">
      <w:bodyDiv w:val="1"/>
      <w:marLeft w:val="0"/>
      <w:marRight w:val="0"/>
      <w:marTop w:val="0"/>
      <w:marBottom w:val="0"/>
      <w:divBdr>
        <w:top w:val="none" w:sz="0" w:space="0" w:color="auto"/>
        <w:left w:val="none" w:sz="0" w:space="0" w:color="auto"/>
        <w:bottom w:val="none" w:sz="0" w:space="0" w:color="auto"/>
        <w:right w:val="none" w:sz="0" w:space="0" w:color="auto"/>
      </w:divBdr>
      <w:divsChild>
        <w:div w:id="243878642">
          <w:marLeft w:val="0"/>
          <w:marRight w:val="0"/>
          <w:marTop w:val="0"/>
          <w:marBottom w:val="160"/>
          <w:divBdr>
            <w:top w:val="none" w:sz="0" w:space="0" w:color="auto"/>
            <w:left w:val="none" w:sz="0" w:space="0" w:color="auto"/>
            <w:bottom w:val="none" w:sz="0" w:space="0" w:color="auto"/>
            <w:right w:val="none" w:sz="0" w:space="0" w:color="auto"/>
          </w:divBdr>
        </w:div>
        <w:div w:id="1249075658">
          <w:marLeft w:val="0"/>
          <w:marRight w:val="0"/>
          <w:marTop w:val="0"/>
          <w:marBottom w:val="160"/>
          <w:divBdr>
            <w:top w:val="none" w:sz="0" w:space="0" w:color="auto"/>
            <w:left w:val="none" w:sz="0" w:space="0" w:color="auto"/>
            <w:bottom w:val="none" w:sz="0" w:space="0" w:color="auto"/>
            <w:right w:val="none" w:sz="0" w:space="0" w:color="auto"/>
          </w:divBdr>
        </w:div>
      </w:divsChild>
    </w:div>
    <w:div w:id="621034762">
      <w:bodyDiv w:val="1"/>
      <w:marLeft w:val="0"/>
      <w:marRight w:val="0"/>
      <w:marTop w:val="0"/>
      <w:marBottom w:val="0"/>
      <w:divBdr>
        <w:top w:val="none" w:sz="0" w:space="0" w:color="auto"/>
        <w:left w:val="none" w:sz="0" w:space="0" w:color="auto"/>
        <w:bottom w:val="none" w:sz="0" w:space="0" w:color="auto"/>
        <w:right w:val="none" w:sz="0" w:space="0" w:color="auto"/>
      </w:divBdr>
    </w:div>
    <w:div w:id="696582745">
      <w:bodyDiv w:val="1"/>
      <w:marLeft w:val="0"/>
      <w:marRight w:val="0"/>
      <w:marTop w:val="0"/>
      <w:marBottom w:val="0"/>
      <w:divBdr>
        <w:top w:val="none" w:sz="0" w:space="0" w:color="auto"/>
        <w:left w:val="none" w:sz="0" w:space="0" w:color="auto"/>
        <w:bottom w:val="none" w:sz="0" w:space="0" w:color="auto"/>
        <w:right w:val="none" w:sz="0" w:space="0" w:color="auto"/>
      </w:divBdr>
    </w:div>
    <w:div w:id="745542307">
      <w:bodyDiv w:val="1"/>
      <w:marLeft w:val="0"/>
      <w:marRight w:val="0"/>
      <w:marTop w:val="0"/>
      <w:marBottom w:val="0"/>
      <w:divBdr>
        <w:top w:val="none" w:sz="0" w:space="0" w:color="auto"/>
        <w:left w:val="none" w:sz="0" w:space="0" w:color="auto"/>
        <w:bottom w:val="none" w:sz="0" w:space="0" w:color="auto"/>
        <w:right w:val="none" w:sz="0" w:space="0" w:color="auto"/>
      </w:divBdr>
    </w:div>
    <w:div w:id="750081779">
      <w:bodyDiv w:val="1"/>
      <w:marLeft w:val="0"/>
      <w:marRight w:val="0"/>
      <w:marTop w:val="0"/>
      <w:marBottom w:val="0"/>
      <w:divBdr>
        <w:top w:val="none" w:sz="0" w:space="0" w:color="auto"/>
        <w:left w:val="none" w:sz="0" w:space="0" w:color="auto"/>
        <w:bottom w:val="none" w:sz="0" w:space="0" w:color="auto"/>
        <w:right w:val="none" w:sz="0" w:space="0" w:color="auto"/>
      </w:divBdr>
    </w:div>
    <w:div w:id="753866556">
      <w:bodyDiv w:val="1"/>
      <w:marLeft w:val="0"/>
      <w:marRight w:val="0"/>
      <w:marTop w:val="0"/>
      <w:marBottom w:val="0"/>
      <w:divBdr>
        <w:top w:val="none" w:sz="0" w:space="0" w:color="auto"/>
        <w:left w:val="none" w:sz="0" w:space="0" w:color="auto"/>
        <w:bottom w:val="none" w:sz="0" w:space="0" w:color="auto"/>
        <w:right w:val="none" w:sz="0" w:space="0" w:color="auto"/>
      </w:divBdr>
    </w:div>
    <w:div w:id="769668229">
      <w:bodyDiv w:val="1"/>
      <w:marLeft w:val="0"/>
      <w:marRight w:val="0"/>
      <w:marTop w:val="0"/>
      <w:marBottom w:val="0"/>
      <w:divBdr>
        <w:top w:val="none" w:sz="0" w:space="0" w:color="auto"/>
        <w:left w:val="none" w:sz="0" w:space="0" w:color="auto"/>
        <w:bottom w:val="none" w:sz="0" w:space="0" w:color="auto"/>
        <w:right w:val="none" w:sz="0" w:space="0" w:color="auto"/>
      </w:divBdr>
    </w:div>
    <w:div w:id="840122173">
      <w:bodyDiv w:val="1"/>
      <w:marLeft w:val="0"/>
      <w:marRight w:val="0"/>
      <w:marTop w:val="0"/>
      <w:marBottom w:val="0"/>
      <w:divBdr>
        <w:top w:val="none" w:sz="0" w:space="0" w:color="auto"/>
        <w:left w:val="none" w:sz="0" w:space="0" w:color="auto"/>
        <w:bottom w:val="none" w:sz="0" w:space="0" w:color="auto"/>
        <w:right w:val="none" w:sz="0" w:space="0" w:color="auto"/>
      </w:divBdr>
    </w:div>
    <w:div w:id="991059666">
      <w:bodyDiv w:val="1"/>
      <w:marLeft w:val="0"/>
      <w:marRight w:val="0"/>
      <w:marTop w:val="0"/>
      <w:marBottom w:val="0"/>
      <w:divBdr>
        <w:top w:val="none" w:sz="0" w:space="0" w:color="auto"/>
        <w:left w:val="none" w:sz="0" w:space="0" w:color="auto"/>
        <w:bottom w:val="none" w:sz="0" w:space="0" w:color="auto"/>
        <w:right w:val="none" w:sz="0" w:space="0" w:color="auto"/>
      </w:divBdr>
    </w:div>
    <w:div w:id="1174034193">
      <w:bodyDiv w:val="1"/>
      <w:marLeft w:val="0"/>
      <w:marRight w:val="0"/>
      <w:marTop w:val="0"/>
      <w:marBottom w:val="0"/>
      <w:divBdr>
        <w:top w:val="none" w:sz="0" w:space="0" w:color="auto"/>
        <w:left w:val="none" w:sz="0" w:space="0" w:color="auto"/>
        <w:bottom w:val="none" w:sz="0" w:space="0" w:color="auto"/>
        <w:right w:val="none" w:sz="0" w:space="0" w:color="auto"/>
      </w:divBdr>
    </w:div>
    <w:div w:id="1296059737">
      <w:bodyDiv w:val="1"/>
      <w:marLeft w:val="0"/>
      <w:marRight w:val="0"/>
      <w:marTop w:val="0"/>
      <w:marBottom w:val="0"/>
      <w:divBdr>
        <w:top w:val="none" w:sz="0" w:space="0" w:color="auto"/>
        <w:left w:val="none" w:sz="0" w:space="0" w:color="auto"/>
        <w:bottom w:val="none" w:sz="0" w:space="0" w:color="auto"/>
        <w:right w:val="none" w:sz="0" w:space="0" w:color="auto"/>
      </w:divBdr>
      <w:divsChild>
        <w:div w:id="192696006">
          <w:marLeft w:val="0"/>
          <w:marRight w:val="0"/>
          <w:marTop w:val="0"/>
          <w:marBottom w:val="160"/>
          <w:divBdr>
            <w:top w:val="none" w:sz="0" w:space="0" w:color="auto"/>
            <w:left w:val="none" w:sz="0" w:space="0" w:color="auto"/>
            <w:bottom w:val="none" w:sz="0" w:space="0" w:color="auto"/>
            <w:right w:val="none" w:sz="0" w:space="0" w:color="auto"/>
          </w:divBdr>
        </w:div>
        <w:div w:id="635261029">
          <w:marLeft w:val="0"/>
          <w:marRight w:val="0"/>
          <w:marTop w:val="0"/>
          <w:marBottom w:val="160"/>
          <w:divBdr>
            <w:top w:val="none" w:sz="0" w:space="0" w:color="auto"/>
            <w:left w:val="none" w:sz="0" w:space="0" w:color="auto"/>
            <w:bottom w:val="none" w:sz="0" w:space="0" w:color="auto"/>
            <w:right w:val="none" w:sz="0" w:space="0" w:color="auto"/>
          </w:divBdr>
        </w:div>
      </w:divsChild>
    </w:div>
    <w:div w:id="1320570587">
      <w:bodyDiv w:val="1"/>
      <w:marLeft w:val="0"/>
      <w:marRight w:val="0"/>
      <w:marTop w:val="0"/>
      <w:marBottom w:val="0"/>
      <w:divBdr>
        <w:top w:val="none" w:sz="0" w:space="0" w:color="auto"/>
        <w:left w:val="none" w:sz="0" w:space="0" w:color="auto"/>
        <w:bottom w:val="none" w:sz="0" w:space="0" w:color="auto"/>
        <w:right w:val="none" w:sz="0" w:space="0" w:color="auto"/>
      </w:divBdr>
    </w:div>
    <w:div w:id="1405760960">
      <w:bodyDiv w:val="1"/>
      <w:marLeft w:val="0"/>
      <w:marRight w:val="0"/>
      <w:marTop w:val="0"/>
      <w:marBottom w:val="0"/>
      <w:divBdr>
        <w:top w:val="none" w:sz="0" w:space="0" w:color="auto"/>
        <w:left w:val="none" w:sz="0" w:space="0" w:color="auto"/>
        <w:bottom w:val="none" w:sz="0" w:space="0" w:color="auto"/>
        <w:right w:val="none" w:sz="0" w:space="0" w:color="auto"/>
      </w:divBdr>
    </w:div>
    <w:div w:id="1532260767">
      <w:bodyDiv w:val="1"/>
      <w:marLeft w:val="0"/>
      <w:marRight w:val="0"/>
      <w:marTop w:val="0"/>
      <w:marBottom w:val="0"/>
      <w:divBdr>
        <w:top w:val="none" w:sz="0" w:space="0" w:color="auto"/>
        <w:left w:val="none" w:sz="0" w:space="0" w:color="auto"/>
        <w:bottom w:val="none" w:sz="0" w:space="0" w:color="auto"/>
        <w:right w:val="none" w:sz="0" w:space="0" w:color="auto"/>
      </w:divBdr>
    </w:div>
    <w:div w:id="1540050913">
      <w:bodyDiv w:val="1"/>
      <w:marLeft w:val="0"/>
      <w:marRight w:val="0"/>
      <w:marTop w:val="0"/>
      <w:marBottom w:val="0"/>
      <w:divBdr>
        <w:top w:val="none" w:sz="0" w:space="0" w:color="auto"/>
        <w:left w:val="none" w:sz="0" w:space="0" w:color="auto"/>
        <w:bottom w:val="none" w:sz="0" w:space="0" w:color="auto"/>
        <w:right w:val="none" w:sz="0" w:space="0" w:color="auto"/>
      </w:divBdr>
    </w:div>
    <w:div w:id="1702590931">
      <w:bodyDiv w:val="1"/>
      <w:marLeft w:val="0"/>
      <w:marRight w:val="0"/>
      <w:marTop w:val="0"/>
      <w:marBottom w:val="0"/>
      <w:divBdr>
        <w:top w:val="none" w:sz="0" w:space="0" w:color="auto"/>
        <w:left w:val="none" w:sz="0" w:space="0" w:color="auto"/>
        <w:bottom w:val="none" w:sz="0" w:space="0" w:color="auto"/>
        <w:right w:val="none" w:sz="0" w:space="0" w:color="auto"/>
      </w:divBdr>
    </w:div>
    <w:div w:id="1745491484">
      <w:bodyDiv w:val="1"/>
      <w:marLeft w:val="0"/>
      <w:marRight w:val="0"/>
      <w:marTop w:val="0"/>
      <w:marBottom w:val="0"/>
      <w:divBdr>
        <w:top w:val="none" w:sz="0" w:space="0" w:color="auto"/>
        <w:left w:val="none" w:sz="0" w:space="0" w:color="auto"/>
        <w:bottom w:val="none" w:sz="0" w:space="0" w:color="auto"/>
        <w:right w:val="none" w:sz="0" w:space="0" w:color="auto"/>
      </w:divBdr>
    </w:div>
    <w:div w:id="1816288834">
      <w:bodyDiv w:val="1"/>
      <w:marLeft w:val="0"/>
      <w:marRight w:val="0"/>
      <w:marTop w:val="0"/>
      <w:marBottom w:val="0"/>
      <w:divBdr>
        <w:top w:val="none" w:sz="0" w:space="0" w:color="auto"/>
        <w:left w:val="none" w:sz="0" w:space="0" w:color="auto"/>
        <w:bottom w:val="none" w:sz="0" w:space="0" w:color="auto"/>
        <w:right w:val="none" w:sz="0" w:space="0" w:color="auto"/>
      </w:divBdr>
    </w:div>
    <w:div w:id="1902400618">
      <w:bodyDiv w:val="1"/>
      <w:marLeft w:val="0"/>
      <w:marRight w:val="0"/>
      <w:marTop w:val="0"/>
      <w:marBottom w:val="0"/>
      <w:divBdr>
        <w:top w:val="none" w:sz="0" w:space="0" w:color="auto"/>
        <w:left w:val="none" w:sz="0" w:space="0" w:color="auto"/>
        <w:bottom w:val="none" w:sz="0" w:space="0" w:color="auto"/>
        <w:right w:val="none" w:sz="0" w:space="0" w:color="auto"/>
      </w:divBdr>
    </w:div>
    <w:div w:id="1986663801">
      <w:bodyDiv w:val="1"/>
      <w:marLeft w:val="0"/>
      <w:marRight w:val="0"/>
      <w:marTop w:val="0"/>
      <w:marBottom w:val="0"/>
      <w:divBdr>
        <w:top w:val="none" w:sz="0" w:space="0" w:color="auto"/>
        <w:left w:val="none" w:sz="0" w:space="0" w:color="auto"/>
        <w:bottom w:val="none" w:sz="0" w:space="0" w:color="auto"/>
        <w:right w:val="none" w:sz="0" w:space="0" w:color="auto"/>
      </w:divBdr>
    </w:div>
    <w:div w:id="206753326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hitehouse.gov/presidential-actions/2025/02/establishing-the-presidents-make-america-healthy-again-commission/"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hitehouse.gov/wp-content/uploads/2025/09/The-MAHA-Strategy-W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ropriations.house.gov/news/press-releases/committee-approves-fy26-labor-health-and-human-services-education-and-relate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ongress.gov/bill/119th-congress/senate-bill/229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hitehouse.gov/wp-content/uploads/2025/05/MAHA-Report-The-White-Hous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e4281f-b343-401d-b601-dac4cf9b5e06">
      <Terms xmlns="http://schemas.microsoft.com/office/infopath/2007/PartnerControls"/>
    </lcf76f155ced4ddcb4097134ff3c332f>
    <TaxCatchAll xmlns="5d93b5b0-e61a-44d4-8393-a04d460f4d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D1B82D64C294697C633E075EE5617" ma:contentTypeVersion="19" ma:contentTypeDescription="Create a new document." ma:contentTypeScope="" ma:versionID="4ccbe6805525d9c12e5af8b69316066a">
  <xsd:schema xmlns:xsd="http://www.w3.org/2001/XMLSchema" xmlns:xs="http://www.w3.org/2001/XMLSchema" xmlns:p="http://schemas.microsoft.com/office/2006/metadata/properties" xmlns:ns2="0ce4281f-b343-401d-b601-dac4cf9b5e06" xmlns:ns3="5d93b5b0-e61a-44d4-8393-a04d460f4d8c" targetNamespace="http://schemas.microsoft.com/office/2006/metadata/properties" ma:root="true" ma:fieldsID="d701ea22299533f14da78a7ec8fb57ef" ns2:_="" ns3:_="">
    <xsd:import namespace="0ce4281f-b343-401d-b601-dac4cf9b5e06"/>
    <xsd:import namespace="5d93b5b0-e61a-44d4-8393-a04d460f4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4281f-b343-401d-b601-dac4cf9b5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fe24da-7f18-4c2b-b204-bcb534e977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3b5b0-e61a-44d4-8393-a04d460f4d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d65f5d-dfef-48cc-8e0b-2ca94b7194c9}" ma:internalName="TaxCatchAll" ma:showField="CatchAllData" ma:web="5d93b5b0-e61a-44d4-8393-a04d460f4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690BE-1D93-4030-9C63-EF8415A0AEB7}">
  <ds:schemaRefs>
    <ds:schemaRef ds:uri="http://schemas.microsoft.com/office/2006/metadata/properties"/>
    <ds:schemaRef ds:uri="http://schemas.microsoft.com/office/infopath/2007/PartnerControls"/>
    <ds:schemaRef ds:uri="0ce4281f-b343-401d-b601-dac4cf9b5e06"/>
    <ds:schemaRef ds:uri="5d93b5b0-e61a-44d4-8393-a04d460f4d8c"/>
  </ds:schemaRefs>
</ds:datastoreItem>
</file>

<file path=customXml/itemProps2.xml><?xml version="1.0" encoding="utf-8"?>
<ds:datastoreItem xmlns:ds="http://schemas.openxmlformats.org/officeDocument/2006/customXml" ds:itemID="{4F526DCD-962E-4574-9CDB-ADDA1C3A57B8}">
  <ds:schemaRefs>
    <ds:schemaRef ds:uri="http://schemas.microsoft.com/sharepoint/v3/contenttype/forms"/>
  </ds:schemaRefs>
</ds:datastoreItem>
</file>

<file path=customXml/itemProps3.xml><?xml version="1.0" encoding="utf-8"?>
<ds:datastoreItem xmlns:ds="http://schemas.openxmlformats.org/officeDocument/2006/customXml" ds:itemID="{10FE92E4-61F6-46A1-B698-CEBED99CA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4281f-b343-401d-b601-dac4cf9b5e06"/>
    <ds:schemaRef ds:uri="5d93b5b0-e61a-44d4-8393-a04d460f4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5977</Characters>
  <Application>Microsoft Office Word</Application>
  <DocSecurity>0</DocSecurity>
  <Lines>101</Lines>
  <Paragraphs>17</Paragraphs>
  <ScaleCrop>false</ScaleCrop>
  <Company/>
  <LinksUpToDate>false</LinksUpToDate>
  <CharactersWithSpaces>6998</CharactersWithSpaces>
  <SharedDoc>false</SharedDoc>
  <HLinks>
    <vt:vector size="30" baseType="variant">
      <vt:variant>
        <vt:i4>786432</vt:i4>
      </vt:variant>
      <vt:variant>
        <vt:i4>12</vt:i4>
      </vt:variant>
      <vt:variant>
        <vt:i4>0</vt:i4>
      </vt:variant>
      <vt:variant>
        <vt:i4>5</vt:i4>
      </vt:variant>
      <vt:variant>
        <vt:lpwstr>https://www.whitehouse.gov/wp-content/uploads/2025/05/MAHA-Report-The-White-House.pdf</vt:lpwstr>
      </vt:variant>
      <vt:variant>
        <vt:lpwstr/>
      </vt:variant>
      <vt:variant>
        <vt:i4>2687036</vt:i4>
      </vt:variant>
      <vt:variant>
        <vt:i4>9</vt:i4>
      </vt:variant>
      <vt:variant>
        <vt:i4>0</vt:i4>
      </vt:variant>
      <vt:variant>
        <vt:i4>5</vt:i4>
      </vt:variant>
      <vt:variant>
        <vt:lpwstr>https://www.whitehouse.gov/presidential-actions/2025/02/establishing-the-presidents-make-america-healthy-again-commission/</vt:lpwstr>
      </vt:variant>
      <vt:variant>
        <vt:lpwstr/>
      </vt:variant>
      <vt:variant>
        <vt:i4>7798837</vt:i4>
      </vt:variant>
      <vt:variant>
        <vt:i4>6</vt:i4>
      </vt:variant>
      <vt:variant>
        <vt:i4>0</vt:i4>
      </vt:variant>
      <vt:variant>
        <vt:i4>5</vt:i4>
      </vt:variant>
      <vt:variant>
        <vt:lpwstr>https://www.whitehouse.gov/wp-content/uploads/2025/09/The-MAHA-Strategy-WH.pdf</vt:lpwstr>
      </vt:variant>
      <vt:variant>
        <vt:lpwstr/>
      </vt:variant>
      <vt:variant>
        <vt:i4>3539052</vt:i4>
      </vt:variant>
      <vt:variant>
        <vt:i4>3</vt:i4>
      </vt:variant>
      <vt:variant>
        <vt:i4>0</vt:i4>
      </vt:variant>
      <vt:variant>
        <vt:i4>5</vt:i4>
      </vt:variant>
      <vt:variant>
        <vt:lpwstr>https://appropriations.house.gov/news/press-releases/committee-approves-fy26-labor-health-and-human-services-education-and-related</vt:lpwstr>
      </vt:variant>
      <vt:variant>
        <vt:lpwstr/>
      </vt:variant>
      <vt:variant>
        <vt:i4>5898262</vt:i4>
      </vt:variant>
      <vt:variant>
        <vt:i4>0</vt:i4>
      </vt:variant>
      <vt:variant>
        <vt:i4>0</vt:i4>
      </vt:variant>
      <vt:variant>
        <vt:i4>5</vt:i4>
      </vt:variant>
      <vt:variant>
        <vt:lpwstr>https://www.congress.gov/bill/119th-congress/senate-bill/2296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Garaga</dc:creator>
  <cp:keywords/>
  <dc:description/>
  <cp:lastModifiedBy>Steven Kemp</cp:lastModifiedBy>
  <cp:revision>2</cp:revision>
  <dcterms:created xsi:type="dcterms:W3CDTF">2025-09-17T15:36:00Z</dcterms:created>
  <dcterms:modified xsi:type="dcterms:W3CDTF">2025-09-17T15:36:00Z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0x0101008A4D1B82D64C294697C633E075EE5617</vt:lpwstr>
  </property>
  <property fmtid="{D5CDD505-2E9C-101B-9397-08002B2CF9AE}" pid="3" name="MediaServiceImageTags">
    <vt:lpwstr/>
  </property>
</Properties>
</file>